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F1A790">
      <w:pPr>
        <w:pStyle w:val="2"/>
        <w:overflowPunct w:val="0"/>
        <w:spacing w:before="138" w:line="184" w:lineRule="auto"/>
        <w:jc w:val="center"/>
        <w:outlineLvl w:val="0"/>
        <w:rPr>
          <w:rFonts w:hint="eastAsia" w:ascii="仿宋" w:hAnsi="仿宋" w:eastAsia="仿宋" w:cs="仿宋"/>
          <w:b/>
          <w:bCs/>
          <w:color w:val="000000" w:themeColor="text1"/>
          <w:sz w:val="36"/>
          <w:szCs w:val="36"/>
          <w:lang w:eastAsia="zh-CN"/>
          <w14:textFill>
            <w14:solidFill>
              <w14:schemeClr w14:val="tx1"/>
            </w14:solidFill>
          </w14:textFill>
        </w:rPr>
      </w:pPr>
      <w:r>
        <w:rPr>
          <w:rFonts w:hint="eastAsia" w:ascii="仿宋" w:hAnsi="仿宋" w:eastAsia="仿宋" w:cs="仿宋"/>
          <w:b/>
          <w:bCs/>
          <w:color w:val="000000" w:themeColor="text1"/>
          <w:sz w:val="36"/>
          <w:szCs w:val="36"/>
          <w:lang w:eastAsia="zh-CN"/>
          <w14:textFill>
            <w14:solidFill>
              <w14:schemeClr w14:val="tx1"/>
            </w14:solidFill>
          </w14:textFill>
        </w:rPr>
        <w:t>利用特殊效果彩妆艺术罩光涂料</w:t>
      </w:r>
    </w:p>
    <w:p w14:paraId="76C87AE2">
      <w:pPr>
        <w:pStyle w:val="2"/>
        <w:overflowPunct w:val="0"/>
        <w:spacing w:before="138" w:line="184" w:lineRule="auto"/>
        <w:jc w:val="center"/>
        <w:outlineLvl w:val="0"/>
        <w:rPr>
          <w:rFonts w:hint="eastAsia" w:ascii="仿宋" w:hAnsi="仿宋" w:eastAsia="仿宋" w:cs="仿宋"/>
          <w:b/>
          <w:bCs/>
          <w:color w:val="000000" w:themeColor="text1"/>
          <w:sz w:val="36"/>
          <w:szCs w:val="36"/>
          <w:lang w:eastAsia="zh-CN"/>
          <w14:textFill>
            <w14:solidFill>
              <w14:schemeClr w14:val="tx1"/>
            </w14:solidFill>
          </w14:textFill>
        </w:rPr>
      </w:pPr>
      <w:r>
        <w:rPr>
          <w:rFonts w:hint="eastAsia" w:ascii="仿宋" w:hAnsi="仿宋" w:eastAsia="仿宋" w:cs="仿宋"/>
          <w:b/>
          <w:bCs/>
          <w:color w:val="000000" w:themeColor="text1"/>
          <w:sz w:val="36"/>
          <w:szCs w:val="36"/>
          <w:lang w:eastAsia="zh-CN"/>
          <w14:textFill>
            <w14:solidFill>
              <w14:schemeClr w14:val="tx1"/>
            </w14:solidFill>
          </w14:textFill>
        </w:rPr>
        <w:t>实现户外彩绘长效保护的施工工法</w:t>
      </w:r>
    </w:p>
    <w:p w14:paraId="4A146D0C">
      <w:pPr>
        <w:pStyle w:val="2"/>
        <w:overflowPunct w:val="0"/>
        <w:spacing w:before="133" w:line="180" w:lineRule="auto"/>
        <w:jc w:val="cente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spacing w:val="-18"/>
          <w:lang w:eastAsia="zh-CN"/>
          <w14:textFill>
            <w14:solidFill>
              <w14:schemeClr w14:val="tx1"/>
            </w14:solidFill>
          </w14:textFill>
        </w:rPr>
        <w:t>编    号：</w:t>
      </w:r>
      <w:r>
        <w:rPr>
          <w:rFonts w:hint="eastAsia" w:ascii="仿宋" w:hAnsi="仿宋" w:eastAsia="仿宋" w:cs="仿宋"/>
          <w:color w:val="000000" w:themeColor="text1"/>
          <w:spacing w:val="-47"/>
          <w:lang w:eastAsia="zh-CN"/>
          <w14:textFill>
            <w14:solidFill>
              <w14:schemeClr w14:val="tx1"/>
            </w14:solidFill>
          </w14:textFill>
        </w:rPr>
        <w:t xml:space="preserve"> </w:t>
      </w:r>
      <w:r>
        <w:rPr>
          <w:rFonts w:hint="eastAsia" w:ascii="仿宋" w:hAnsi="仿宋" w:eastAsia="仿宋" w:cs="仿宋"/>
          <w:color w:val="000000" w:themeColor="text1"/>
          <w:spacing w:val="-47"/>
          <w:lang w:val="en-US" w:eastAsia="zh-CN"/>
          <w14:textFill>
            <w14:solidFill>
              <w14:schemeClr w14:val="tx1"/>
            </w14:solidFill>
          </w14:textFill>
        </w:rPr>
        <w:t>SMGF-004</w:t>
      </w:r>
    </w:p>
    <w:p w14:paraId="0CA8487E">
      <w:pPr>
        <w:pStyle w:val="2"/>
        <w:overflowPunct w:val="0"/>
        <w:spacing w:before="158" w:line="185" w:lineRule="auto"/>
        <w:jc w:val="center"/>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spacing w:val="-4"/>
          <w:lang w:eastAsia="zh-CN"/>
          <w14:textFill>
            <w14:solidFill>
              <w14:schemeClr w14:val="tx1"/>
            </w14:solidFill>
          </w14:textFill>
        </w:rPr>
        <w:t>完成单位：</w:t>
      </w:r>
      <w:r>
        <w:rPr>
          <w:rFonts w:hint="eastAsia" w:ascii="仿宋" w:hAnsi="仿宋" w:eastAsia="仿宋" w:cs="仿宋"/>
          <w:color w:val="000000" w:themeColor="text1"/>
          <w:spacing w:val="-4"/>
          <w:lang w:val="en-US" w:eastAsia="zh-CN"/>
          <w14:textFill>
            <w14:solidFill>
              <w14:schemeClr w14:val="tx1"/>
            </w14:solidFill>
          </w14:textFill>
        </w:rPr>
        <w:t>重庆深盟新材料科技有限公司</w:t>
      </w:r>
    </w:p>
    <w:p w14:paraId="2EF1C92A">
      <w:pPr>
        <w:pStyle w:val="2"/>
        <w:overflowPunct w:val="0"/>
        <w:spacing w:before="151" w:line="184" w:lineRule="auto"/>
        <w:jc w:val="center"/>
        <w:rPr>
          <w:rFonts w:hint="default" w:ascii="仿宋" w:hAnsi="仿宋" w:eastAsia="仿宋" w:cs="仿宋"/>
          <w:color w:val="000000" w:themeColor="text1"/>
          <w:lang w:val="en-US" w:eastAsia="zh-CN"/>
          <w14:textFill>
            <w14:solidFill>
              <w14:schemeClr w14:val="tx1"/>
            </w14:solidFill>
          </w14:textFill>
        </w:rPr>
      </w:pPr>
      <w:r>
        <w:rPr>
          <w:rFonts w:hint="eastAsia" w:ascii="仿宋" w:hAnsi="仿宋" w:eastAsia="仿宋" w:cs="仿宋"/>
          <w:color w:val="000000" w:themeColor="text1"/>
          <w:spacing w:val="-2"/>
          <w:lang w:eastAsia="zh-CN"/>
          <w14:textFill>
            <w14:solidFill>
              <w14:schemeClr w14:val="tx1"/>
            </w14:solidFill>
          </w14:textFill>
        </w:rPr>
        <w:t>主要完成人：</w:t>
      </w:r>
      <w:r>
        <w:rPr>
          <w:rFonts w:hint="eastAsia" w:ascii="仿宋" w:hAnsi="仿宋" w:eastAsia="仿宋" w:cs="仿宋"/>
          <w:color w:val="000000" w:themeColor="text1"/>
          <w:spacing w:val="-2"/>
          <w:lang w:val="en-US" w:eastAsia="zh-CN"/>
          <w14:textFill>
            <w14:solidFill>
              <w14:schemeClr w14:val="tx1"/>
            </w14:solidFill>
          </w14:textFill>
        </w:rPr>
        <w:t>罗川峰、潘督、肖建锋</w:t>
      </w:r>
    </w:p>
    <w:p w14:paraId="642D4182">
      <w:pPr>
        <w:pStyle w:val="2"/>
        <w:overflowPunct w:val="0"/>
        <w:spacing w:before="151" w:line="186" w:lineRule="auto"/>
        <w:ind w:left="41"/>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spacing w:val="-16"/>
          <w:lang w:eastAsia="zh-CN"/>
          <w14:textFill>
            <w14:solidFill>
              <w14:schemeClr w14:val="tx1"/>
            </w14:solidFill>
          </w14:textFill>
        </w:rPr>
        <w:t>1  前言</w:t>
      </w:r>
    </w:p>
    <w:p w14:paraId="58A24B0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户外彩绘艺术，如高速公路隧道洞门彩绘、服务区文化墙、城市壁画等，已成为提升环境品质和文化内涵的重要手段。然而，这些艺术作品长期暴露于户外复杂环境中，易受到紫外线、酸雨、温湿</w:t>
      </w:r>
      <w:bookmarkStart w:id="1" w:name="_GoBack"/>
      <w:bookmarkEnd w:id="1"/>
      <w:r>
        <w:rPr>
          <w:rFonts w:hint="eastAsia" w:ascii="仿宋" w:hAnsi="仿宋" w:eastAsia="仿宋" w:cs="仿宋"/>
          <w:color w:val="000000" w:themeColor="text1"/>
          <w:lang w:eastAsia="zh-CN"/>
          <w14:textFill>
            <w14:solidFill>
              <w14:schemeClr w14:val="tx1"/>
            </w14:solidFill>
          </w14:textFill>
        </w:rPr>
        <w:t>度变化、微生物侵蚀、灰尘沾污等多重因素的影响，导致褪色、粉化、开裂、剥落、霉变等问题，严重影响其美观性和耐久性，通常2-3年就需要进行维护或重绘，造成了巨大的经济损失和资源浪费。因此，开发一种能够有效保护户外彩绘作品，延长其使用寿命，并保持其艺术效果的防护涂料技术显得尤为重要。</w:t>
      </w:r>
    </w:p>
    <w:p w14:paraId="53A6343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针对上述需求，本研究单位成功研发了一种“特殊效果彩妆艺术罩光涂料”。该涂料以高性能聚氨酯清漆为基础，并创新性地引入多种纳米功能材料，赋予涂层高透光、高耐候、光反射、抗菌防霉等多重特殊效果，旨在为户外彩绘艺术作品提供长效、可靠的防护，显著延长其免维护周期。本工法旨在规范该涂料的施工应用，确保其防护效果的实现。</w:t>
      </w:r>
    </w:p>
    <w:p w14:paraId="25B7B470">
      <w:pPr>
        <w:pStyle w:val="2"/>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 工法特点</w:t>
      </w:r>
    </w:p>
    <w:p w14:paraId="1391EFF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2.1 多重防护功能：涂层不仅具有传统罩光涂料的物理隔绝保护作用，还集成了高耐候、紫外线反射、红外线反射（隔热）、抗静电（减少积灰）、抗菌防霉等多重特殊功能，实现对彩绘作品的全方位、长效保护。</w:t>
      </w:r>
    </w:p>
    <w:p w14:paraId="60B001A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2.2 核心材料创新：采用高性能双组份丙烯酸聚氨酯清漆（Interthane 976）作为主体成膜物质，确保涂层基本的物理化学性能。同时，创新性地复配了纳米ATO、纳米二氧化钛P25、自制二氧化硅载银离子异质结材料、纳米氧化铟锡（ITO）和纳米铜粉等多种功能性纳米材料，实现了性能的协同增效。</w:t>
      </w:r>
    </w:p>
    <w:p w14:paraId="5B3BD6C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2.3 高透明度与保真性：涂料具有极高的透光率（&gt;92.3%）和低雾度，能够清晰展现底层彩绘的色彩、细节和质感，不影响艺术作品的鲜映度和观赏效果。</w:t>
      </w:r>
    </w:p>
    <w:p w14:paraId="21AB873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2.4 超长耐久性：涂层具有优异的耐人工气候老化性能（&gt;1000小时无异常），耐水、耐酸雨、耐碱、耐黄变等性能均达到高水平，能够将户外彩绘作品的免维护周期从传统的2-3年显著提升至8-15年。</w:t>
      </w:r>
    </w:p>
    <w:p w14:paraId="72654F9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2.5 施工适用性好：该涂料为双组份体系，可通过喷涂等方式施工，操作相对便捷，固化后形成坚韧、光亮的保护膜。</w:t>
      </w:r>
    </w:p>
    <w:p w14:paraId="429A8249">
      <w:pPr>
        <w:pStyle w:val="2"/>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3 适用范围</w:t>
      </w:r>
    </w:p>
    <w:p w14:paraId="3C84F24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工法适用于户外混凝土、砖石、腻子等基面上彩绘艺术作品（如使用丙烯颜料等绘制）的罩光保护，特别适用于高速公路隧道洞门彩绘、服务区文化墙、城市建筑壁画、景观小品彩绘等。对于其他需要高透明、高耐候保护的户外设施表面也可参考应用。</w:t>
      </w:r>
    </w:p>
    <w:p w14:paraId="53504E43">
      <w:pPr>
        <w:pStyle w:val="2"/>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4. 工艺原理</w:t>
      </w:r>
    </w:p>
    <w:p w14:paraId="4AD7357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本工法的核心是利用特殊效果彩妆艺术罩光涂料在彩绘作品表面形成一层多功能透明保护膜。其作用原理如下：</w:t>
      </w:r>
    </w:p>
    <w:p w14:paraId="3D2AB08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物理屏障：高性能聚氨酯树脂固化后形成致密、坚韧的涂膜，有效隔绝雨水、空气中的污染物（如酸性气体、粉尘）等对底层彩绘的直接侵蚀。</w:t>
      </w:r>
    </w:p>
    <w:p w14:paraId="29C321E2">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紫外线防护：纳米二氧化钛P25和纳米铜粉对紫外线具有强烈的反射和散射作用，显著降低紫外线对底层颜料和树脂的光老化破坏，延缓褪色、粉化。</w:t>
      </w:r>
    </w:p>
    <w:p w14:paraId="3DF791B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红外线反射（隔热）：纳米氧化铟锡（ITO）和纳米ATO对红外线具有较高的反射率，能够降低彩绘表面的温度，减少热量积累对涂层和基材的破坏，起到一定的隔热降温作用。</w:t>
      </w:r>
    </w:p>
    <w:p w14:paraId="5D9E500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抗菌防霉：自制的二氧化硅载银离子异质结材料能够缓慢释放银离子，有效抑制涂层表面细菌、霉菌、藻类等微生物的滋生，保持彩绘表面清洁，防止生物污染。</w:t>
      </w:r>
    </w:p>
    <w:p w14:paraId="1D70227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抗静电自清洁：纳米ATO的导电性赋予涂层一定的抗静电能力，减少灰尘的吸附。同时，部分功能材料（如TiO2）具有一定的光催化活性，可降解部分有机污渍，配合雨水冲刷起到一定的自清洁效果。</w:t>
      </w:r>
    </w:p>
    <w:p w14:paraId="40D8358F">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通过以上多种机制的协同作用，该罩光涂料能够显著提升户外彩绘作品的耐久性和美观保持性。</w:t>
      </w:r>
    </w:p>
    <w:p w14:paraId="52E7F3F9">
      <w:pPr>
        <w:pStyle w:val="2"/>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 施工工艺流程及操作要点</w:t>
      </w:r>
    </w:p>
    <w:p w14:paraId="2787895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5.1 施工工艺流程</w:t>
      </w:r>
    </w:p>
    <w:p w14:paraId="6AECC15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利用特殊效果彩妆艺术罩光涂料实现户外彩绘保护的施工工艺流程如图5.1所示：</w:t>
      </w:r>
    </w:p>
    <w:p w14:paraId="5663FD1B">
      <w:pPr>
        <w:jc w:val="center"/>
        <w:rPr>
          <w:rFonts w:hint="eastAsia"/>
        </w:rPr>
      </w:pPr>
      <w:r>
        <w:drawing>
          <wp:inline distT="0" distB="0" distL="0" distR="0">
            <wp:extent cx="2484120" cy="4884420"/>
            <wp:effectExtent l="0" t="0" r="0" b="0"/>
            <wp:docPr id="8618772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877231"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2484120" cy="4884420"/>
                    </a:xfrm>
                    <a:prstGeom prst="rect">
                      <a:avLst/>
                    </a:prstGeom>
                    <a:noFill/>
                    <a:ln>
                      <a:noFill/>
                    </a:ln>
                  </pic:spPr>
                </pic:pic>
              </a:graphicData>
            </a:graphic>
          </wp:inline>
        </w:drawing>
      </w:r>
    </w:p>
    <w:p w14:paraId="54B9661B">
      <w:pPr>
        <w:pStyle w:val="2"/>
        <w:overflowPunct w:val="0"/>
        <w:spacing w:before="263" w:line="190" w:lineRule="auto"/>
        <w:jc w:val="center"/>
        <w:rPr>
          <w:rFonts w:hint="eastAsia" w:ascii="仿宋" w:hAnsi="仿宋" w:eastAsia="仿宋" w:cs="仿宋"/>
          <w:color w:val="000000" w:themeColor="text1"/>
          <w:spacing w:val="7"/>
          <w:sz w:val="20"/>
          <w:szCs w:val="20"/>
          <w:lang w:eastAsia="zh-CN"/>
          <w14:textFill>
            <w14:solidFill>
              <w14:schemeClr w14:val="tx1"/>
            </w14:solidFill>
          </w14:textFill>
        </w:rPr>
      </w:pPr>
      <w:r>
        <w:rPr>
          <w:rFonts w:hint="eastAsia" w:ascii="仿宋" w:hAnsi="仿宋" w:eastAsia="仿宋" w:cs="仿宋"/>
          <w:color w:val="000000" w:themeColor="text1"/>
          <w:spacing w:val="7"/>
          <w:sz w:val="20"/>
          <w:szCs w:val="20"/>
          <w:lang w:eastAsia="zh-CN"/>
          <w14:textFill>
            <w14:solidFill>
              <w14:schemeClr w14:val="tx1"/>
            </w14:solidFill>
          </w14:textFill>
        </w:rPr>
        <w:t>图  5.1 特殊效果彩妆艺术罩光涂料施工工艺流程图</w:t>
      </w:r>
    </w:p>
    <w:p w14:paraId="75D32D3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 操作要点</w:t>
      </w:r>
    </w:p>
    <w:p w14:paraId="417A2DE9">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 基层处理与检查：</w:t>
      </w:r>
    </w:p>
    <w:p w14:paraId="07400D9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5.2.1.1 确保底层彩绘所用颜料（如丙烯颜料）和可能存在的中间层涂料（如水性聚氨酯光油）已完全干燥固化（水性聚氨酯光油至少干燥3天以上）。</w:t>
      </w:r>
    </w:p>
    <w:p w14:paraId="3F568B2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5.2.1.2 检查彩绘表面是否清洁、干燥、牢固，无油污、灰尘、松散物等。如有污染物，需用适当方法（如软布擦拭、压缩空气吹扫）清理干净。</w:t>
      </w:r>
    </w:p>
    <w:p w14:paraId="76248E69">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5.2.1.3 确认彩绘颜料与本罩光涂料（含有溶剂）的相容性，建议在不显眼处进行小面积试涂，观察是否有咬底、溶胀、变色等不良反应。</w:t>
      </w:r>
    </w:p>
    <w:p w14:paraId="7378440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5.2.1.4 对于有腻子层的基面，应确保腻子层牢固、不开裂、不掉粉。</w:t>
      </w:r>
    </w:p>
    <w:p w14:paraId="67D6EAB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 涂料配制：</w:t>
      </w:r>
    </w:p>
    <w:p w14:paraId="3AF6E8B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5.2.2.1 施工前，将罩光涂料A组分和B组分分别搅拌均匀。</w:t>
      </w:r>
    </w:p>
    <w:p w14:paraId="2D4A687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5.2.2.2 严格按照 体积比 A:B = 4:1 进行配比，使用洁净的容器准确量取。</w:t>
      </w:r>
    </w:p>
    <w:p w14:paraId="1A9712C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5.2.2.3 将B组分缓慢加入A组分中，并使用动力搅拌器充分搅拌均匀，直至颜色、状态完全一致。</w:t>
      </w:r>
    </w:p>
    <w:p w14:paraId="30B7F279">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5.2.2.4 混合后的涂料应在规定的适用期（Pot Life，通常受温度影响，需查阅产品说明）内使用完毕。</w:t>
      </w:r>
    </w:p>
    <w:p w14:paraId="1BDDDCCF">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 喷涂施工：</w:t>
      </w:r>
    </w:p>
    <w:p w14:paraId="296CA44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5.2.3.1 环境要求：环境温度宜在5℃-35℃之间，相对湿度≤85%。基材表面温度应高于露点温度3℃以上，避免表面结露。避免在大风、雨、雪、雾天或强烈阳光直射下施工。</w:t>
      </w:r>
    </w:p>
    <w:p w14:paraId="47E7F32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5.2.3.2 施工方法：推荐采用空气喷涂或无气喷涂方式，以获得均匀、平滑、光亮的涂膜。刷涂或辊涂可能影响透明度和外观均匀性。</w:t>
      </w:r>
    </w:p>
    <w:p w14:paraId="2868804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5.2.3.3 喷涂操作：调整好喷枪的压力、喷幅、距离（通常15-30cm）和移动速度，保持均匀喷涂，避免漏喷、流挂。对于复杂表面，应注意角度调整。</w:t>
      </w:r>
    </w:p>
    <w:p w14:paraId="4C0D09F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5.2.3.4 涂装道数与厚度：通常喷涂1-2道，每道之间应有适当的间隔时间（指触干后即可）。干膜总厚度控制在 40-60μm。厚度过薄影响保护效果，过厚可能影响透明度和增加成本。</w:t>
      </w:r>
    </w:p>
    <w:p w14:paraId="2B44261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 涂层固化与保护：</w:t>
      </w:r>
    </w:p>
    <w:p w14:paraId="707626A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5.2.4.1 涂装完成后，应保护涂层免受机械损伤、雨水冲刷和化学品污染。</w:t>
      </w:r>
    </w:p>
    <w:p w14:paraId="7FB4EC5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5.2.4.2 最后一道涂层施工后 24小时内严禁接触雨水 或其他水分。</w:t>
      </w:r>
    </w:p>
    <w:p w14:paraId="0709B4CC">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5.2.4.3 涂层完全固化需要约7天（标准条件下25℃），在此期间应避免重度擦洗或接触腐蚀性物质。性能测试应在完全固化后进行。</w:t>
      </w:r>
    </w:p>
    <w:p w14:paraId="0B4C1953">
      <w:pPr>
        <w:pStyle w:val="2"/>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6 材料与设备</w:t>
      </w:r>
    </w:p>
    <w:p w14:paraId="5E9312EB">
      <w:pPr>
        <w:pStyle w:val="2"/>
        <w:overflowPunct w:val="0"/>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主要材料与设备如表6-1。</w:t>
      </w:r>
    </w:p>
    <w:p w14:paraId="44884417">
      <w:pPr>
        <w:widowControl/>
        <w:rPr>
          <w:rFonts w:hint="eastAsia" w:ascii="仿宋" w:hAnsi="仿宋" w:eastAsia="仿宋" w:cs="仿宋"/>
          <w:snapToGrid w:val="0"/>
          <w:color w:val="000000" w:themeColor="text1"/>
          <w:kern w:val="0"/>
          <w:sz w:val="24"/>
          <w14:textFill>
            <w14:solidFill>
              <w14:schemeClr w14:val="tx1"/>
            </w14:solidFill>
          </w14:textFill>
          <w14:ligatures w14:val="none"/>
        </w:rPr>
      </w:pPr>
      <w:r>
        <w:rPr>
          <w:rFonts w:hint="eastAsia" w:ascii="仿宋" w:hAnsi="仿宋" w:eastAsia="仿宋" w:cs="仿宋"/>
          <w:color w:val="000000" w:themeColor="text1"/>
          <w14:textFill>
            <w14:solidFill>
              <w14:schemeClr w14:val="tx1"/>
            </w14:solidFill>
          </w14:textFill>
        </w:rPr>
        <w:br w:type="page"/>
      </w:r>
    </w:p>
    <w:p w14:paraId="0B733A5F">
      <w:pPr>
        <w:pStyle w:val="2"/>
        <w:overflowPunct w:val="0"/>
        <w:spacing w:before="67" w:line="191" w:lineRule="auto"/>
        <w:ind w:left="3295"/>
        <w:rPr>
          <w:rFonts w:ascii="仿宋" w:hAnsi="仿宋" w:eastAsia="仿宋" w:cs="仿宋"/>
          <w:color w:val="000000" w:themeColor="text1"/>
          <w:spacing w:val="2"/>
          <w:sz w:val="20"/>
          <w:szCs w:val="20"/>
          <w:lang w:eastAsia="zh-CN"/>
          <w14:textFill>
            <w14:solidFill>
              <w14:schemeClr w14:val="tx1"/>
            </w14:solidFill>
          </w14:textFill>
        </w:rPr>
      </w:pPr>
      <w:bookmarkStart w:id="0" w:name="_Hlk196743641"/>
      <w:r>
        <w:rPr>
          <w:rFonts w:hint="eastAsia" w:ascii="仿宋" w:hAnsi="仿宋" w:eastAsia="仿宋" w:cs="仿宋"/>
          <w:color w:val="000000" w:themeColor="text1"/>
          <w:spacing w:val="2"/>
          <w:sz w:val="20"/>
          <w:szCs w:val="20"/>
          <w:lang w:eastAsia="zh-CN"/>
          <w14:textFill>
            <w14:solidFill>
              <w14:schemeClr w14:val="tx1"/>
            </w14:solidFill>
          </w14:textFill>
        </w:rPr>
        <w:t>表 6-1</w:t>
      </w:r>
      <w:r>
        <w:rPr>
          <w:rFonts w:hint="eastAsia" w:ascii="仿宋" w:hAnsi="仿宋" w:eastAsia="仿宋" w:cs="仿宋"/>
          <w:color w:val="000000" w:themeColor="text1"/>
          <w:spacing w:val="64"/>
          <w:sz w:val="20"/>
          <w:szCs w:val="20"/>
          <w:lang w:eastAsia="zh-CN"/>
          <w14:textFill>
            <w14:solidFill>
              <w14:schemeClr w14:val="tx1"/>
            </w14:solidFill>
          </w14:textFill>
        </w:rPr>
        <w:t xml:space="preserve"> </w:t>
      </w:r>
      <w:r>
        <w:rPr>
          <w:rFonts w:hint="eastAsia" w:ascii="仿宋" w:hAnsi="仿宋" w:eastAsia="仿宋" w:cs="仿宋"/>
          <w:color w:val="000000" w:themeColor="text1"/>
          <w:spacing w:val="2"/>
          <w:sz w:val="20"/>
          <w:szCs w:val="20"/>
          <w:lang w:eastAsia="zh-CN"/>
          <w14:textFill>
            <w14:solidFill>
              <w14:schemeClr w14:val="tx1"/>
            </w14:solidFill>
          </w14:textFill>
        </w:rPr>
        <w:t>材料与设备表</w:t>
      </w:r>
      <w:bookmarkEnd w:id="0"/>
    </w:p>
    <w:p w14:paraId="654C0D90">
      <w:pPr>
        <w:jc w:val="center"/>
        <w:rPr>
          <w:rFonts w:hint="eastAsia"/>
        </w:rPr>
      </w:pPr>
      <w:r>
        <w:drawing>
          <wp:inline distT="0" distB="0" distL="0" distR="0">
            <wp:extent cx="5816600" cy="4213860"/>
            <wp:effectExtent l="0" t="0" r="0" b="0"/>
            <wp:docPr id="20672957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295740"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827463" cy="4221507"/>
                    </a:xfrm>
                    <a:prstGeom prst="rect">
                      <a:avLst/>
                    </a:prstGeom>
                    <a:noFill/>
                    <a:ln>
                      <a:noFill/>
                    </a:ln>
                  </pic:spPr>
                </pic:pic>
              </a:graphicData>
            </a:graphic>
          </wp:inline>
        </w:drawing>
      </w:r>
    </w:p>
    <w:p w14:paraId="1637DFFC">
      <w:pPr>
        <w:pStyle w:val="2"/>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 质量控制</w:t>
      </w:r>
    </w:p>
    <w:p w14:paraId="789878BF">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7.1 材料控制：</w:t>
      </w:r>
    </w:p>
    <w:p w14:paraId="0C5D2C0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7.1.1 使用的罩光涂料A、B组分应符合本工法的技术要求，有出厂合格证，并在保质期内。</w:t>
      </w:r>
    </w:p>
    <w:p w14:paraId="6D6FC18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7.1.2 检查A、B组分包装是否完好，无泄漏。</w:t>
      </w:r>
    </w:p>
    <w:p w14:paraId="735FDA2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7.1.3 核对A、B组分牌号是否匹配。</w:t>
      </w:r>
    </w:p>
    <w:p w14:paraId="3F40743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7.2 基材检查：施工前必须对底层彩绘的干燥程度、清洁度、牢固度和相容性进行检查确认。</w:t>
      </w:r>
    </w:p>
    <w:p w14:paraId="26B7336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7.3 配料控制：严格按照规定的体积比（4:1）进行配料，使用专用量具，并搅拌均匀。混合后的涂料应在适用期内用完。</w:t>
      </w:r>
    </w:p>
    <w:p w14:paraId="5D3CC772">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7.4 环境控制：施工过程中应定时检测环境温度、湿度和基材表面温度，确保符合施工条件，并做好记录。</w:t>
      </w:r>
    </w:p>
    <w:p w14:paraId="7FBC3B00">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7.5 施工过程控制：</w:t>
      </w:r>
    </w:p>
    <w:p w14:paraId="73305FF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7.5.1 控制喷涂距离、角度、速度，确保涂膜均匀。</w:t>
      </w:r>
    </w:p>
    <w:p w14:paraId="21DF69D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7.5.2 按要求控制涂装道数和湿膜厚度，并通过干膜测厚仪检测最终干膜厚度是否在40-60μm范围内。测厚点应均匀分布。</w:t>
      </w:r>
    </w:p>
    <w:p w14:paraId="12EB48F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7.5.3 注意施工间隔时间，防止涂层过早接触水分。</w:t>
      </w:r>
    </w:p>
    <w:p w14:paraId="675B4E5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7.6 成品检验：</w:t>
      </w:r>
    </w:p>
    <w:p w14:paraId="34D8A62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7.6.1 涂层固化后，进行外观检查，应光亮、均匀、透明，无流挂、针孔、气泡、开裂、橘皮等缺陷。</w:t>
      </w:r>
    </w:p>
    <w:p w14:paraId="766A5A5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7.6.2 检查干膜厚度是否符合要求。</w:t>
      </w:r>
    </w:p>
    <w:p w14:paraId="69189C5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7.6.3 可进行附着力测试（如划格法，GB/T 9286），应达到0-1级。</w:t>
      </w:r>
    </w:p>
    <w:p w14:paraId="70327C43">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7.6.4 建立质量检查记录，不合格处应及时处理。</w:t>
      </w:r>
    </w:p>
    <w:p w14:paraId="5BD5FB31">
      <w:pPr>
        <w:pStyle w:val="2"/>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 安全措施</w:t>
      </w:r>
    </w:p>
    <w:p w14:paraId="3B12738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8.1 人员培训：施工人员应经过培训，了解涂料性能、施工工艺和安全操作规程。</w:t>
      </w:r>
    </w:p>
    <w:p w14:paraId="4DE6A4A9">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8.2 个人防护：施工人员必须佩戴符合要求的个人防护用品，包括但不限于：防毒面具（过滤有机蒸汽）、化学防护眼镜、耐溶剂手套、防护服。</w:t>
      </w:r>
    </w:p>
    <w:p w14:paraId="2447BE17">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8.3 通风：施工现场应保持良好通风，特别是在密闭或半密闭空间施工时，应采取强制通风措施。</w:t>
      </w:r>
    </w:p>
    <w:p w14:paraId="6F5431E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8.4 防火防爆：施工现场严禁烟火，远离火源和热源。使用的电器设备应符合防爆要求。配备足够的消防器材。</w:t>
      </w:r>
    </w:p>
    <w:p w14:paraId="0C0B319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8.5 化学品管理：涂料、稀释剂等化学品应存放在阴凉、通风、干燥的库房内，远离火源。遵守化学品安全使用规定。</w:t>
      </w:r>
    </w:p>
    <w:p w14:paraId="2479B95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8.6 高处作业：如需高处作业，应遵守相关安全规定，搭设稳固的脚手架或使用安全的升降设备，并佩戴安全带。</w:t>
      </w:r>
    </w:p>
    <w:p w14:paraId="6CC7BF0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8.7 废弃物处理：废弃的涂料、溶剂、沾染物等应按照危险废弃物进行处理，不得随意倾倒。</w:t>
      </w:r>
    </w:p>
    <w:p w14:paraId="45F9595F">
      <w:pPr>
        <w:pStyle w:val="2"/>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 环保措施</w:t>
      </w:r>
    </w:p>
    <w:p w14:paraId="09E670E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9.1 材料选择：优先选用低VOC或符合环保标准的产品（尽管聚氨酯通常含溶剂，但长寿命可减少总排放）。</w:t>
      </w:r>
    </w:p>
    <w:p w14:paraId="6885E3CB">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9.2 施工管理：</w:t>
      </w:r>
    </w:p>
    <w:p w14:paraId="7380E472">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9.2.1 尽量减少涂料和稀释剂的浪费。</w:t>
      </w:r>
    </w:p>
    <w:p w14:paraId="32C8D35D">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9.2.2 采取措施控制喷涂过程中的漆雾飞散，如使用遮蔽物或调整喷涂参数。</w:t>
      </w:r>
    </w:p>
    <w:p w14:paraId="5D616AA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9.2.3 施工现场应保持整洁，及时清理废弃物。</w:t>
      </w:r>
    </w:p>
    <w:p w14:paraId="7D44862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9.3 废弃物处置：废弃涂料桶、清洗溶剂等应交由有资质的单位进行处理。</w:t>
      </w:r>
    </w:p>
    <w:p w14:paraId="48DB033F">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9.4 环境影响：施工时应注意避免对周围环境（空气、水体、土壤）造成污染。</w:t>
      </w:r>
    </w:p>
    <w:p w14:paraId="15185E95">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 效益分析</w:t>
      </w:r>
    </w:p>
    <w:p w14:paraId="62F133AC">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 经济效益：</w:t>
      </w:r>
    </w:p>
    <w:p w14:paraId="5A583A81">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10.1.1 显著降低维护成本：将户外彩绘的免维护周期从2-3年延长至8-15年，大幅减少了长期维护、修复和重绘的频率及相关的人工、材料和交通组织成本。</w:t>
      </w:r>
    </w:p>
    <w:p w14:paraId="05C94BB8">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10.1.2 提升资产价值：保持彩绘作品的长期美观性和完整性，提升了相关设施（如隧道、服务区）的整体形象和资产价值。</w:t>
      </w:r>
    </w:p>
    <w:p w14:paraId="166A980E">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 社会效益：</w:t>
      </w:r>
    </w:p>
    <w:p w14:paraId="12580C22">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10.2.1 提升公共空间品质：长期保持户外艺术作品的美观，美化环境，提升城市或道路的文化品位和视觉吸引力。</w:t>
      </w:r>
    </w:p>
    <w:p w14:paraId="56D62CEC">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10.2.2 延长艺术寿命：有效保护了艺术家的创作成果，延长了艺术作品的社会服务时间。</w:t>
      </w:r>
    </w:p>
    <w:p w14:paraId="718638E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10.2.3 减少交通干扰：降低了因维护作业而对交通产生的干扰。</w:t>
      </w:r>
    </w:p>
    <w:p w14:paraId="454176E4">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 技术效益：</w:t>
      </w:r>
    </w:p>
    <w:p w14:paraId="7B7AF09A">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10.3.1 多功能集成：实现了高透明保护与耐候、抗污、抗菌、隔热等多重功能的集成。</w:t>
      </w:r>
    </w:p>
    <w:p w14:paraId="1C4D3042">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10.3.2 性能卓越：关键性能指标（耐候性、透光率等）达到行业领先水平。</w:t>
      </w:r>
    </w:p>
    <w:p w14:paraId="6B2A3586">
      <w:pPr>
        <w:pStyle w:val="2"/>
        <w:spacing w:before="150" w:line="271" w:lineRule="auto"/>
        <w:ind w:right="45"/>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11 应用实例</w:t>
      </w:r>
    </w:p>
    <w:p w14:paraId="53AAA916">
      <w:pPr>
        <w:pStyle w:val="2"/>
        <w:spacing w:before="150" w:line="271" w:lineRule="auto"/>
        <w:ind w:left="23" w:right="45" w:firstLine="476"/>
        <w:jc w:val="both"/>
        <w:rPr>
          <w:rFonts w:hint="eastAsia" w:ascii="仿宋" w:hAnsi="仿宋" w:eastAsia="仿宋" w:cs="仿宋"/>
          <w:color w:val="000000" w:themeColor="text1"/>
          <w:lang w:eastAsia="zh-CN"/>
          <w14:textFill>
            <w14:solidFill>
              <w14:schemeClr w14:val="tx1"/>
            </w14:solidFill>
          </w14:textFill>
        </w:rPr>
      </w:pPr>
      <w:r>
        <w:rPr>
          <w:rFonts w:hint="eastAsia" w:ascii="仿宋" w:hAnsi="仿宋" w:eastAsia="仿宋" w:cs="仿宋"/>
          <w:color w:val="000000" w:themeColor="text1"/>
          <w:lang w:eastAsia="zh-CN"/>
          <w14:textFill>
            <w14:solidFill>
              <w14:schemeClr w14:val="tx1"/>
            </w14:solidFill>
          </w14:textFill>
        </w:rPr>
        <w:t>本项目研发的特殊效果彩妆艺术罩光涂料已成功应用于渝湘复线高速公路服务区隧道洞门彩绘工程。施工后，涂层透明度高，完美展现了彩绘的色彩和细节；经过一段时间的实际环境考验，彩绘作品色泽鲜艳，未出现明显褪色、污染或生物侵蚀现象，验证了本工法的有效性和涂料的优异性能。</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4D0"/>
    <w:rsid w:val="003B7167"/>
    <w:rsid w:val="0045551D"/>
    <w:rsid w:val="005C5E5A"/>
    <w:rsid w:val="006654D0"/>
    <w:rsid w:val="007706B4"/>
    <w:rsid w:val="00AD45BC"/>
    <w:rsid w:val="00AF402E"/>
    <w:rsid w:val="00B60828"/>
    <w:rsid w:val="00BA7C9A"/>
    <w:rsid w:val="00BF6665"/>
    <w:rsid w:val="00CC678B"/>
    <w:rsid w:val="00EC0FFD"/>
    <w:rsid w:val="00F3384D"/>
    <w:rsid w:val="68C65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3">
    <w:name w:val="heading 1"/>
    <w:basedOn w:val="1"/>
    <w:next w:val="1"/>
    <w:link w:val="17"/>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18"/>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5">
    <w:name w:val="heading 3"/>
    <w:basedOn w:val="1"/>
    <w:next w:val="1"/>
    <w:link w:val="19"/>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6">
    <w:name w:val="heading 4"/>
    <w:basedOn w:val="1"/>
    <w:next w:val="1"/>
    <w:link w:val="20"/>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7">
    <w:name w:val="heading 5"/>
    <w:basedOn w:val="1"/>
    <w:next w:val="1"/>
    <w:link w:val="21"/>
    <w:semiHidden/>
    <w:unhideWhenUsed/>
    <w:qFormat/>
    <w:uiPriority w:val="9"/>
    <w:pPr>
      <w:keepNext/>
      <w:keepLines/>
      <w:spacing w:before="80" w:after="40"/>
      <w:outlineLvl w:val="4"/>
    </w:pPr>
    <w:rPr>
      <w:rFonts w:cstheme="majorBidi"/>
      <w:color w:val="104862" w:themeColor="accent1" w:themeShade="BF"/>
      <w:sz w:val="24"/>
    </w:rPr>
  </w:style>
  <w:style w:type="paragraph" w:styleId="8">
    <w:name w:val="heading 6"/>
    <w:basedOn w:val="1"/>
    <w:next w:val="1"/>
    <w:link w:val="22"/>
    <w:semiHidden/>
    <w:unhideWhenUsed/>
    <w:qFormat/>
    <w:uiPriority w:val="9"/>
    <w:pPr>
      <w:keepNext/>
      <w:keepLines/>
      <w:spacing w:before="40" w:after="0"/>
      <w:outlineLvl w:val="5"/>
    </w:pPr>
    <w:rPr>
      <w:rFonts w:cstheme="majorBidi"/>
      <w:b/>
      <w:bCs/>
      <w:color w:val="104862" w:themeColor="accent1" w:themeShade="BF"/>
    </w:rPr>
  </w:style>
  <w:style w:type="paragraph" w:styleId="9">
    <w:name w:val="heading 7"/>
    <w:basedOn w:val="1"/>
    <w:next w:val="1"/>
    <w:link w:val="23"/>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10">
    <w:name w:val="heading 8"/>
    <w:basedOn w:val="1"/>
    <w:next w:val="1"/>
    <w:link w:val="24"/>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1">
    <w:name w:val="heading 9"/>
    <w:basedOn w:val="1"/>
    <w:next w:val="1"/>
    <w:link w:val="25"/>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35"/>
    <w:semiHidden/>
    <w:qFormat/>
    <w:uiPriority w:val="0"/>
    <w:pPr>
      <w:widowControl/>
      <w:kinsoku w:val="0"/>
      <w:autoSpaceDE w:val="0"/>
      <w:autoSpaceDN w:val="0"/>
      <w:adjustRightInd w:val="0"/>
      <w:snapToGrid w:val="0"/>
      <w:spacing w:after="0" w:line="240" w:lineRule="auto"/>
      <w:textAlignment w:val="baseline"/>
    </w:pPr>
    <w:rPr>
      <w:rFonts w:ascii="微软雅黑" w:hAnsi="微软雅黑" w:eastAsia="微软雅黑" w:cs="微软雅黑"/>
      <w:snapToGrid w:val="0"/>
      <w:color w:val="000000"/>
      <w:kern w:val="0"/>
      <w:sz w:val="24"/>
      <w:lang w:eastAsia="en-US"/>
      <w14:ligatures w14:val="none"/>
    </w:rPr>
  </w:style>
  <w:style w:type="paragraph" w:styleId="12">
    <w:name w:val="Subtitle"/>
    <w:basedOn w:val="1"/>
    <w:next w:val="1"/>
    <w:link w:val="27"/>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3">
    <w:name w:val="Title"/>
    <w:basedOn w:val="1"/>
    <w:next w:val="1"/>
    <w:link w:val="26"/>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table" w:customStyle="1" w:styleId="16">
    <w:name w:val="三线表"/>
    <w:basedOn w:val="14"/>
    <w:qFormat/>
    <w:uiPriority w:val="99"/>
    <w:pPr>
      <w:spacing w:after="0" w:line="240" w:lineRule="auto"/>
    </w:pPr>
    <w:tblPr>
      <w:tblBorders>
        <w:top w:val="single" w:color="auto" w:sz="12" w:space="0"/>
        <w:bottom w:val="single" w:color="auto" w:sz="12" w:space="0"/>
      </w:tblBorders>
    </w:tblPr>
    <w:tblStylePr w:type="firstRow">
      <w:tcPr>
        <w:tcBorders>
          <w:top w:val="single" w:color="auto" w:sz="12" w:space="0"/>
          <w:left w:val="nil"/>
          <w:bottom w:val="single" w:color="auto" w:sz="6" w:space="0"/>
          <w:right w:val="nil"/>
          <w:insideH w:val="nil"/>
          <w:insideV w:val="nil"/>
          <w:tl2br w:val="nil"/>
          <w:tr2bl w:val="nil"/>
        </w:tcBorders>
      </w:tcPr>
    </w:tblStylePr>
  </w:style>
  <w:style w:type="character" w:customStyle="1" w:styleId="17">
    <w:name w:val="标题 1 字符"/>
    <w:basedOn w:val="15"/>
    <w:link w:val="3"/>
    <w:qFormat/>
    <w:uiPriority w:val="9"/>
    <w:rPr>
      <w:rFonts w:asciiTheme="majorHAnsi" w:hAnsiTheme="majorHAnsi" w:eastAsiaTheme="majorEastAsia" w:cstheme="majorBidi"/>
      <w:color w:val="104862" w:themeColor="accent1" w:themeShade="BF"/>
      <w:sz w:val="48"/>
      <w:szCs w:val="48"/>
    </w:rPr>
  </w:style>
  <w:style w:type="character" w:customStyle="1" w:styleId="18">
    <w:name w:val="标题 2 字符"/>
    <w:basedOn w:val="15"/>
    <w:link w:val="4"/>
    <w:semiHidden/>
    <w:qFormat/>
    <w:uiPriority w:val="9"/>
    <w:rPr>
      <w:rFonts w:asciiTheme="majorHAnsi" w:hAnsiTheme="majorHAnsi" w:eastAsiaTheme="majorEastAsia" w:cstheme="majorBidi"/>
      <w:color w:val="104862" w:themeColor="accent1" w:themeShade="BF"/>
      <w:sz w:val="40"/>
      <w:szCs w:val="40"/>
    </w:rPr>
  </w:style>
  <w:style w:type="character" w:customStyle="1" w:styleId="19">
    <w:name w:val="标题 3 字符"/>
    <w:basedOn w:val="15"/>
    <w:link w:val="5"/>
    <w:semiHidden/>
    <w:qFormat/>
    <w:uiPriority w:val="9"/>
    <w:rPr>
      <w:rFonts w:asciiTheme="majorHAnsi" w:hAnsiTheme="majorHAnsi" w:eastAsiaTheme="majorEastAsia" w:cstheme="majorBidi"/>
      <w:color w:val="104862" w:themeColor="accent1" w:themeShade="BF"/>
      <w:sz w:val="32"/>
      <w:szCs w:val="32"/>
    </w:rPr>
  </w:style>
  <w:style w:type="character" w:customStyle="1" w:styleId="20">
    <w:name w:val="标题 4 字符"/>
    <w:basedOn w:val="15"/>
    <w:link w:val="6"/>
    <w:semiHidden/>
    <w:qFormat/>
    <w:uiPriority w:val="9"/>
    <w:rPr>
      <w:rFonts w:cstheme="majorBidi"/>
      <w:color w:val="104862" w:themeColor="accent1" w:themeShade="BF"/>
      <w:sz w:val="28"/>
      <w:szCs w:val="28"/>
    </w:rPr>
  </w:style>
  <w:style w:type="character" w:customStyle="1" w:styleId="21">
    <w:name w:val="标题 5 字符"/>
    <w:basedOn w:val="15"/>
    <w:link w:val="7"/>
    <w:semiHidden/>
    <w:qFormat/>
    <w:uiPriority w:val="9"/>
    <w:rPr>
      <w:rFonts w:cstheme="majorBidi"/>
      <w:color w:val="104862" w:themeColor="accent1" w:themeShade="BF"/>
      <w:sz w:val="24"/>
    </w:rPr>
  </w:style>
  <w:style w:type="character" w:customStyle="1" w:styleId="22">
    <w:name w:val="标题 6 字符"/>
    <w:basedOn w:val="15"/>
    <w:link w:val="8"/>
    <w:semiHidden/>
    <w:qFormat/>
    <w:uiPriority w:val="9"/>
    <w:rPr>
      <w:rFonts w:cstheme="majorBidi"/>
      <w:b/>
      <w:bCs/>
      <w:color w:val="104862" w:themeColor="accent1" w:themeShade="BF"/>
    </w:rPr>
  </w:style>
  <w:style w:type="character" w:customStyle="1" w:styleId="23">
    <w:name w:val="标题 7 字符"/>
    <w:basedOn w:val="15"/>
    <w:link w:val="9"/>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4">
    <w:name w:val="标题 8 字符"/>
    <w:basedOn w:val="15"/>
    <w:link w:val="10"/>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5">
    <w:name w:val="标题 9 字符"/>
    <w:basedOn w:val="15"/>
    <w:link w:val="11"/>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6">
    <w:name w:val="标题 字符"/>
    <w:basedOn w:val="15"/>
    <w:link w:val="13"/>
    <w:qFormat/>
    <w:uiPriority w:val="10"/>
    <w:rPr>
      <w:rFonts w:asciiTheme="majorHAnsi" w:hAnsiTheme="majorHAnsi" w:eastAsiaTheme="majorEastAsia" w:cstheme="majorBidi"/>
      <w:spacing w:val="-10"/>
      <w:kern w:val="28"/>
      <w:sz w:val="56"/>
      <w:szCs w:val="56"/>
    </w:rPr>
  </w:style>
  <w:style w:type="character" w:customStyle="1" w:styleId="27">
    <w:name w:val="副标题 字符"/>
    <w:basedOn w:val="15"/>
    <w:link w:val="12"/>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8">
    <w:name w:val="Quote"/>
    <w:basedOn w:val="1"/>
    <w:next w:val="1"/>
    <w:link w:val="29"/>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29">
    <w:name w:val="引用 字符"/>
    <w:basedOn w:val="15"/>
    <w:link w:val="28"/>
    <w:qFormat/>
    <w:uiPriority w:val="29"/>
    <w:rPr>
      <w:i/>
      <w:iCs/>
      <w:color w:val="404040" w:themeColor="text1" w:themeTint="BF"/>
      <w14:textFill>
        <w14:solidFill>
          <w14:schemeClr w14:val="tx1">
            <w14:lumMod w14:val="75000"/>
            <w14:lumOff w14:val="25000"/>
          </w14:schemeClr>
        </w14:solidFill>
      </w14:textFill>
    </w:rPr>
  </w:style>
  <w:style w:type="paragraph" w:styleId="30">
    <w:name w:val="List Paragraph"/>
    <w:basedOn w:val="1"/>
    <w:qFormat/>
    <w:uiPriority w:val="34"/>
    <w:pPr>
      <w:ind w:left="720"/>
      <w:contextualSpacing/>
    </w:pPr>
  </w:style>
  <w:style w:type="character" w:customStyle="1" w:styleId="31">
    <w:name w:val="Intense Emphasis"/>
    <w:basedOn w:val="15"/>
    <w:qFormat/>
    <w:uiPriority w:val="21"/>
    <w:rPr>
      <w:i/>
      <w:iCs/>
      <w:color w:val="104862" w:themeColor="accent1" w:themeShade="BF"/>
    </w:rPr>
  </w:style>
  <w:style w:type="paragraph" w:styleId="32">
    <w:name w:val="Intense Quote"/>
    <w:basedOn w:val="1"/>
    <w:next w:val="1"/>
    <w:link w:val="33"/>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3">
    <w:name w:val="明显引用 字符"/>
    <w:basedOn w:val="15"/>
    <w:link w:val="32"/>
    <w:qFormat/>
    <w:uiPriority w:val="30"/>
    <w:rPr>
      <w:i/>
      <w:iCs/>
      <w:color w:val="104862" w:themeColor="accent1" w:themeShade="BF"/>
    </w:rPr>
  </w:style>
  <w:style w:type="character" w:customStyle="1" w:styleId="34">
    <w:name w:val="Intense Reference"/>
    <w:basedOn w:val="15"/>
    <w:qFormat/>
    <w:uiPriority w:val="32"/>
    <w:rPr>
      <w:b/>
      <w:bCs/>
      <w:smallCaps/>
      <w:color w:val="104862" w:themeColor="accent1" w:themeShade="BF"/>
      <w:spacing w:val="5"/>
    </w:rPr>
  </w:style>
  <w:style w:type="character" w:customStyle="1" w:styleId="35">
    <w:name w:val="正文文本 字符"/>
    <w:basedOn w:val="15"/>
    <w:link w:val="2"/>
    <w:semiHidden/>
    <w:qFormat/>
    <w:uiPriority w:val="0"/>
    <w:rPr>
      <w:rFonts w:ascii="微软雅黑" w:hAnsi="微软雅黑" w:eastAsia="微软雅黑" w:cs="微软雅黑"/>
      <w:snapToGrid w:val="0"/>
      <w:color w:val="000000"/>
      <w:kern w:val="0"/>
      <w:sz w:val="24"/>
      <w:lang w:eastAsia="en-US"/>
      <w14:ligatures w14: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3680</Words>
  <Characters>4037</Characters>
  <Lines>30</Lines>
  <Paragraphs>8</Paragraphs>
  <TotalTime>0</TotalTime>
  <ScaleCrop>false</ScaleCrop>
  <LinksUpToDate>false</LinksUpToDate>
  <CharactersWithSpaces>4135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2025-04-29T02:26:00Z</dcterms:created>
  <dc:creator>Lenovo</dc:creator>
  <cp:lastModifiedBy>万象</cp:lastModifiedBy>
  <dcterms:modified xsi:type="dcterms:W3CDTF">2025-09-08T03:55:36Z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eyJoZGlkIjoiODg1MWE3NmQwODA2NzcyNDdlZThlYmM4MTVmNGUyZWEiLCJ1c2VySWQiOiIxNjE4MDUxOTU5In0=</vt:lpwstr>
  </property>
  <property fmtid="{D5CDD505-2E9C-101B-9397-08002B2CF9AE}" pid="3" name="KSOProductBuildVer">
    <vt:lpwstr>2052-12.1.0.22529</vt:lpwstr>
  </property>
  <property fmtid="{D5CDD505-2E9C-101B-9397-08002B2CF9AE}" pid="4" name="ICV">
    <vt:lpwstr>F99D323A862543CD8F41422AE77649B9_13</vt:lpwstr>
  </property>
</Properties>
</file>