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39D354">
      <w:pPr>
        <w:pStyle w:val="2"/>
        <w:overflowPunct w:val="0"/>
        <w:spacing w:before="138" w:line="184" w:lineRule="auto"/>
        <w:jc w:val="center"/>
        <w:outlineLvl w:val="0"/>
        <w:rPr>
          <w:rFonts w:hint="eastAsia" w:ascii="仿宋" w:hAnsi="仿宋" w:eastAsia="仿宋" w:cs="仿宋"/>
          <w:color w:val="000000" w:themeColor="text1"/>
          <w:sz w:val="36"/>
          <w:szCs w:val="36"/>
          <w:lang w:eastAsia="zh-CN"/>
          <w14:textFill>
            <w14:solidFill>
              <w14:schemeClr w14:val="tx1"/>
            </w14:solidFill>
          </w14:textFill>
        </w:rPr>
      </w:pPr>
    </w:p>
    <w:p w14:paraId="496D2331">
      <w:pPr>
        <w:pStyle w:val="2"/>
        <w:overflowPunct w:val="0"/>
        <w:spacing w:before="138" w:line="184" w:lineRule="auto"/>
        <w:jc w:val="center"/>
        <w:outlineLvl w:val="0"/>
        <w:rPr>
          <w:rFonts w:hint="eastAsia" w:ascii="仿宋" w:hAnsi="仿宋" w:eastAsia="仿宋" w:cs="仿宋"/>
          <w:b/>
          <w:bCs/>
          <w:color w:val="000000" w:themeColor="text1"/>
          <w:sz w:val="36"/>
          <w:szCs w:val="36"/>
          <w:lang w:eastAsia="zh-CN"/>
          <w14:textFill>
            <w14:solidFill>
              <w14:schemeClr w14:val="tx1"/>
            </w14:solidFill>
          </w14:textFill>
        </w:rPr>
      </w:pPr>
      <w:r>
        <w:rPr>
          <w:rFonts w:hint="eastAsia" w:ascii="仿宋" w:hAnsi="仿宋" w:eastAsia="仿宋" w:cs="仿宋"/>
          <w:b/>
          <w:bCs/>
          <w:color w:val="000000" w:themeColor="text1"/>
          <w:sz w:val="36"/>
          <w:szCs w:val="36"/>
          <w:lang w:eastAsia="zh-CN"/>
          <w14:textFill>
            <w14:solidFill>
              <w14:schemeClr w14:val="tx1"/>
            </w14:solidFill>
          </w14:textFill>
        </w:rPr>
        <w:t>利用氟碳烯锌基复合粉末涂层</w:t>
      </w:r>
    </w:p>
    <w:p w14:paraId="7AEBFB4B">
      <w:pPr>
        <w:pStyle w:val="2"/>
        <w:overflowPunct w:val="0"/>
        <w:spacing w:before="138" w:line="184" w:lineRule="auto"/>
        <w:jc w:val="center"/>
        <w:outlineLvl w:val="0"/>
        <w:rPr>
          <w:rFonts w:hint="eastAsia" w:ascii="仿宋" w:hAnsi="仿宋" w:eastAsia="仿宋" w:cs="仿宋"/>
          <w:b/>
          <w:bCs/>
          <w:color w:val="000000" w:themeColor="text1"/>
          <w:sz w:val="36"/>
          <w:szCs w:val="36"/>
          <w:lang w:eastAsia="zh-CN"/>
          <w14:textFill>
            <w14:solidFill>
              <w14:schemeClr w14:val="tx1"/>
            </w14:solidFill>
          </w14:textFill>
        </w:rPr>
      </w:pPr>
      <w:r>
        <w:rPr>
          <w:rFonts w:hint="eastAsia" w:ascii="仿宋" w:hAnsi="仿宋" w:eastAsia="仿宋" w:cs="仿宋"/>
          <w:b/>
          <w:bCs/>
          <w:color w:val="000000" w:themeColor="text1"/>
          <w:sz w:val="36"/>
          <w:szCs w:val="36"/>
          <w:lang w:eastAsia="zh-CN"/>
          <w14:textFill>
            <w14:solidFill>
              <w14:schemeClr w14:val="tx1"/>
            </w14:solidFill>
          </w14:textFill>
        </w:rPr>
        <w:t>实现钢结构波形护栏防腐的施工工法</w:t>
      </w:r>
    </w:p>
    <w:p w14:paraId="4A146D0C">
      <w:pPr>
        <w:pStyle w:val="2"/>
        <w:overflowPunct w:val="0"/>
        <w:spacing w:before="133" w:line="180" w:lineRule="auto"/>
        <w:jc w:val="center"/>
        <w:rPr>
          <w:rFonts w:hint="default" w:ascii="仿宋" w:hAnsi="仿宋" w:eastAsia="仿宋" w:cs="仿宋"/>
          <w:color w:val="000000" w:themeColor="text1"/>
          <w:lang w:val="en-US" w:eastAsia="zh-CN"/>
          <w14:textFill>
            <w14:solidFill>
              <w14:schemeClr w14:val="tx1"/>
            </w14:solidFill>
          </w14:textFill>
        </w:rPr>
      </w:pPr>
      <w:bookmarkStart w:id="1" w:name="_GoBack"/>
      <w:r>
        <w:rPr>
          <w:rFonts w:hint="eastAsia" w:ascii="仿宋" w:hAnsi="仿宋" w:eastAsia="仿宋" w:cs="仿宋"/>
          <w:color w:val="000000" w:themeColor="text1"/>
          <w:spacing w:val="-18"/>
          <w:lang w:eastAsia="zh-CN"/>
          <w14:textFill>
            <w14:solidFill>
              <w14:schemeClr w14:val="tx1"/>
            </w14:solidFill>
          </w14:textFill>
        </w:rPr>
        <w:t>编    号：</w:t>
      </w:r>
      <w:r>
        <w:rPr>
          <w:rFonts w:hint="eastAsia" w:ascii="仿宋" w:hAnsi="仿宋" w:eastAsia="仿宋" w:cs="仿宋"/>
          <w:color w:val="000000" w:themeColor="text1"/>
          <w:spacing w:val="-47"/>
          <w:lang w:eastAsia="zh-CN"/>
          <w14:textFill>
            <w14:solidFill>
              <w14:schemeClr w14:val="tx1"/>
            </w14:solidFill>
          </w14:textFill>
        </w:rPr>
        <w:t xml:space="preserve"> </w:t>
      </w:r>
      <w:r>
        <w:rPr>
          <w:rFonts w:hint="eastAsia" w:ascii="仿宋" w:hAnsi="仿宋" w:eastAsia="仿宋" w:cs="仿宋"/>
          <w:color w:val="000000" w:themeColor="text1"/>
          <w:spacing w:val="-47"/>
          <w:lang w:val="en-US" w:eastAsia="zh-CN"/>
          <w14:textFill>
            <w14:solidFill>
              <w14:schemeClr w14:val="tx1"/>
            </w14:solidFill>
          </w14:textFill>
        </w:rPr>
        <w:t>SMGF-002</w:t>
      </w:r>
    </w:p>
    <w:p w14:paraId="0CA8487E">
      <w:pPr>
        <w:pStyle w:val="2"/>
        <w:overflowPunct w:val="0"/>
        <w:spacing w:before="158" w:line="185" w:lineRule="auto"/>
        <w:jc w:val="center"/>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spacing w:val="-4"/>
          <w:lang w:eastAsia="zh-CN"/>
          <w14:textFill>
            <w14:solidFill>
              <w14:schemeClr w14:val="tx1"/>
            </w14:solidFill>
          </w14:textFill>
        </w:rPr>
        <w:t>完成单位：</w:t>
      </w:r>
      <w:r>
        <w:rPr>
          <w:rFonts w:hint="eastAsia" w:ascii="仿宋" w:hAnsi="仿宋" w:eastAsia="仿宋" w:cs="仿宋"/>
          <w:color w:val="000000" w:themeColor="text1"/>
          <w:spacing w:val="-4"/>
          <w:lang w:val="en-US" w:eastAsia="zh-CN"/>
          <w14:textFill>
            <w14:solidFill>
              <w14:schemeClr w14:val="tx1"/>
            </w14:solidFill>
          </w14:textFill>
        </w:rPr>
        <w:t>重庆深盟新材料科技有限公司</w:t>
      </w:r>
    </w:p>
    <w:p w14:paraId="2EF1C92A">
      <w:pPr>
        <w:pStyle w:val="2"/>
        <w:overflowPunct w:val="0"/>
        <w:spacing w:before="151" w:line="184" w:lineRule="auto"/>
        <w:jc w:val="center"/>
        <w:rPr>
          <w:rFonts w:hint="default" w:ascii="仿宋" w:hAnsi="仿宋" w:eastAsia="仿宋" w:cs="仿宋"/>
          <w:color w:val="000000" w:themeColor="text1"/>
          <w:lang w:val="en-US" w:eastAsia="zh-CN"/>
          <w14:textFill>
            <w14:solidFill>
              <w14:schemeClr w14:val="tx1"/>
            </w14:solidFill>
          </w14:textFill>
        </w:rPr>
      </w:pPr>
      <w:r>
        <w:rPr>
          <w:rFonts w:hint="eastAsia" w:ascii="仿宋" w:hAnsi="仿宋" w:eastAsia="仿宋" w:cs="仿宋"/>
          <w:color w:val="000000" w:themeColor="text1"/>
          <w:spacing w:val="-2"/>
          <w:lang w:eastAsia="zh-CN"/>
          <w14:textFill>
            <w14:solidFill>
              <w14:schemeClr w14:val="tx1"/>
            </w14:solidFill>
          </w14:textFill>
        </w:rPr>
        <w:t>主要完成人：</w:t>
      </w:r>
      <w:r>
        <w:rPr>
          <w:rFonts w:hint="eastAsia" w:ascii="仿宋" w:hAnsi="仿宋" w:eastAsia="仿宋" w:cs="仿宋"/>
          <w:color w:val="000000" w:themeColor="text1"/>
          <w:spacing w:val="-2"/>
          <w:lang w:val="en-US" w:eastAsia="zh-CN"/>
          <w14:textFill>
            <w14:solidFill>
              <w14:schemeClr w14:val="tx1"/>
            </w14:solidFill>
          </w14:textFill>
        </w:rPr>
        <w:t>肖建锋、陶轶</w:t>
      </w:r>
    </w:p>
    <w:bookmarkEnd w:id="1"/>
    <w:p w14:paraId="0CBF1D5D">
      <w:pPr>
        <w:pStyle w:val="2"/>
        <w:overflowPunct w:val="0"/>
        <w:spacing w:before="151" w:line="186" w:lineRule="auto"/>
        <w:ind w:left="41"/>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spacing w:val="-16"/>
          <w:lang w:eastAsia="zh-CN"/>
          <w14:textFill>
            <w14:solidFill>
              <w14:schemeClr w14:val="tx1"/>
            </w14:solidFill>
          </w14:textFill>
        </w:rPr>
        <w:t>1  前言</w:t>
      </w:r>
    </w:p>
    <w:p w14:paraId="1AD628BE">
      <w:pPr>
        <w:pStyle w:val="2"/>
        <w:overflowPunct w:val="0"/>
        <w:spacing w:before="150" w:line="271" w:lineRule="auto"/>
        <w:ind w:right="45" w:firstLine="480" w:firstLineChars="200"/>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中国工程院重大咨询项目“我国腐蚀管理状况与对策战略研究”调查结果显示，2014年我国腐蚀成本约占当年国内生产总值的3.34%，高达2.1万亿元人民币。如果按照2020年国内生产总值测算，这个数字接近3.4万亿元人民币。材料腐蚀不仅造成巨大的经济损失，严重的腐蚀还会造成设备设施损坏报废、有毒介质泄露、火灾、爆炸等灾难性事故，给人类生命安全、环境及社会造成不可挽回的损失。金属材料因其优异的物理、化学、力学、工艺等性能，在基础设施特别是交通建设领域发挥着不可替代的作用，但是腐蚀问题始终是制约金属设备设施服役安全和使用寿命的重要因素。</w:t>
      </w:r>
    </w:p>
    <w:p w14:paraId="24E5BE18">
      <w:pPr>
        <w:pStyle w:val="2"/>
        <w:overflowPunct w:val="0"/>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GB/T 18226-265《公路交通工程钢结构件防腐技术条件》标准中指出，腐蚀是金属钢构件失效的主要原因和形式，造成的经济损失十分巨大。因此，采取各种措施减少和延缓腐蚀，提高钢结构的安全可靠性、美观性以及延长使用寿命显得日益重要。</w:t>
      </w:r>
    </w:p>
    <w:p w14:paraId="1CBA539F">
      <w:pPr>
        <w:pStyle w:val="2"/>
        <w:overflowPunct w:val="0"/>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我国经过几十年的发展，在防腐处理技术领域取得了显著成绩。例如，热浸锌、热浸镀铝等工艺已非常普及。但随着时代的进步，绿色、环保的理念逐渐被人们认知。欧美国家早在20世纪80年代初就淘汰了高能耗、高污染的开放式热浸作坊式工艺，并转而开发环保节能的新工艺，实现了质量稳定可靠、绿色环保的目标。近几年，我国产业界也取得了实用化的成果，例如氟碳烯锌基复合涂层采用抛丸工艺作前处理，避免了酸碱污染。采用静电喷涂工艺降低了熔融锌锭、铝锭需要的高温和热损失，采用自动化生产线提高了产品质量和功耗，减少了碳排放，对建设资源节约、环境友好型交通事业具有重要的经济效益和社会效益。工法关键技术《一种氟碳烯锌基粉末复合涂层及其制备方法和应用》已申请发明专利并受理，申请号：202410441916.4。</w:t>
      </w:r>
    </w:p>
    <w:p w14:paraId="3326B761">
      <w:pPr>
        <w:pStyle w:val="2"/>
        <w:overflowPunct w:val="0"/>
        <w:spacing w:before="151" w:line="186" w:lineRule="auto"/>
        <w:ind w:left="41"/>
        <w:rPr>
          <w:rFonts w:hint="eastAsia" w:ascii="仿宋" w:hAnsi="仿宋" w:eastAsia="仿宋" w:cs="仿宋"/>
          <w:color w:val="000000" w:themeColor="text1"/>
          <w:spacing w:val="-16"/>
          <w:lang w:eastAsia="zh-CN"/>
          <w14:textFill>
            <w14:solidFill>
              <w14:schemeClr w14:val="tx1"/>
            </w14:solidFill>
          </w14:textFill>
        </w:rPr>
      </w:pPr>
      <w:r>
        <w:rPr>
          <w:rFonts w:hint="eastAsia" w:ascii="仿宋" w:hAnsi="仿宋" w:eastAsia="仿宋" w:cs="仿宋"/>
          <w:color w:val="000000" w:themeColor="text1"/>
          <w:spacing w:val="-16"/>
          <w:lang w:eastAsia="zh-CN"/>
          <w14:textFill>
            <w14:solidFill>
              <w14:schemeClr w14:val="tx1"/>
            </w14:solidFill>
          </w14:textFill>
        </w:rPr>
        <w:t>2  工法特点</w:t>
      </w:r>
    </w:p>
    <w:p w14:paraId="6F55DC0D">
      <w:pPr>
        <w:pStyle w:val="2"/>
        <w:overflowPunct w:val="0"/>
        <w:spacing w:before="150" w:line="271" w:lineRule="auto"/>
        <w:ind w:left="23" w:right="45" w:firstLine="476"/>
        <w:jc w:val="both"/>
        <w:outlineLvl w:val="1"/>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2.1 核心成分石墨烯具有高比表面积、快速导电性、优异的力学特性和稳定性能，其层片状结构更有利于弥补涂层中锌之间、锌与金属基材间的电接触，形成更多的导电网络，增强涂层的阴极保护作用，大量减少锌粉用量。</w:t>
      </w:r>
    </w:p>
    <w:p w14:paraId="4BE7DA6E">
      <w:pPr>
        <w:pStyle w:val="2"/>
        <w:overflowPunct w:val="0"/>
        <w:spacing w:before="150" w:line="271" w:lineRule="auto"/>
        <w:ind w:left="23" w:right="45" w:firstLine="476"/>
        <w:jc w:val="both"/>
        <w:outlineLvl w:val="1"/>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2.2 通过采用石墨烯环氧树脂粉末替代了传统的环氧树脂和石墨烯，解决了石墨烯在固体防腐涂料中分散困难，以及由于石墨烯轻薄而不适用粉体喷涂的技术难题。</w:t>
      </w:r>
    </w:p>
    <w:p w14:paraId="18B3839B">
      <w:pPr>
        <w:pStyle w:val="2"/>
        <w:overflowPunct w:val="0"/>
        <w:spacing w:before="150" w:line="271" w:lineRule="auto"/>
        <w:ind w:left="23" w:right="45" w:firstLine="476"/>
        <w:jc w:val="both"/>
        <w:outlineLvl w:val="1"/>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2.3 不含有挥发性有机溶剂，对重防腐涂料性能的提升、锌资源的节约、施工人员的健康以及环保都具有巨大的贡献。</w:t>
      </w:r>
    </w:p>
    <w:p w14:paraId="39CC9C63">
      <w:pPr>
        <w:pStyle w:val="2"/>
        <w:overflowPunct w:val="0"/>
        <w:spacing w:before="150" w:line="271" w:lineRule="auto"/>
        <w:ind w:left="23" w:right="45" w:firstLine="476"/>
        <w:jc w:val="both"/>
        <w:outlineLvl w:val="1"/>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2.4 用粉体无溶剂粉末涂料替代溶剂型和水性石墨烯涂料，开创了石墨烯粉体波形护栏涂料应用的先例。</w:t>
      </w:r>
    </w:p>
    <w:p w14:paraId="79985BF3">
      <w:pPr>
        <w:pStyle w:val="2"/>
        <w:overflowPunct w:val="0"/>
        <w:spacing w:before="151" w:line="186" w:lineRule="auto"/>
        <w:ind w:left="41"/>
        <w:rPr>
          <w:rFonts w:hint="eastAsia" w:ascii="仿宋" w:hAnsi="仿宋" w:eastAsia="仿宋" w:cs="仿宋"/>
          <w:color w:val="000000" w:themeColor="text1"/>
          <w:spacing w:val="-16"/>
          <w:lang w:eastAsia="zh-CN"/>
          <w14:textFill>
            <w14:solidFill>
              <w14:schemeClr w14:val="tx1"/>
            </w14:solidFill>
          </w14:textFill>
        </w:rPr>
      </w:pPr>
      <w:r>
        <w:rPr>
          <w:rFonts w:hint="eastAsia" w:ascii="仿宋" w:hAnsi="仿宋" w:eastAsia="仿宋" w:cs="仿宋"/>
          <w:color w:val="000000" w:themeColor="text1"/>
          <w:spacing w:val="-16"/>
          <w:lang w:eastAsia="zh-CN"/>
          <w14:textFill>
            <w14:solidFill>
              <w14:schemeClr w14:val="tx1"/>
            </w14:solidFill>
          </w14:textFill>
        </w:rPr>
        <w:t>3  适用范围</w:t>
      </w:r>
    </w:p>
    <w:p w14:paraId="650C7F3F">
      <w:pPr>
        <w:pStyle w:val="2"/>
        <w:overflowPunct w:val="0"/>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本工法适用于高速公路波形护栏腐蚀防护。对于其它有利交通运输行业钢结构构件腐蚀防护工程也可参考借鉴。</w:t>
      </w:r>
    </w:p>
    <w:p w14:paraId="2B7A8B66">
      <w:pPr>
        <w:pStyle w:val="2"/>
        <w:overflowPunct w:val="0"/>
        <w:spacing w:before="151" w:line="186" w:lineRule="auto"/>
        <w:ind w:left="41"/>
        <w:rPr>
          <w:rFonts w:hint="eastAsia" w:ascii="仿宋" w:hAnsi="仿宋" w:eastAsia="仿宋" w:cs="仿宋"/>
          <w:color w:val="000000" w:themeColor="text1"/>
          <w:spacing w:val="-16"/>
          <w:lang w:eastAsia="zh-CN"/>
          <w14:textFill>
            <w14:solidFill>
              <w14:schemeClr w14:val="tx1"/>
            </w14:solidFill>
          </w14:textFill>
        </w:rPr>
      </w:pPr>
      <w:r>
        <w:rPr>
          <w:rFonts w:hint="eastAsia" w:ascii="仿宋" w:hAnsi="仿宋" w:eastAsia="仿宋" w:cs="仿宋"/>
          <w:color w:val="000000" w:themeColor="text1"/>
          <w:spacing w:val="-16"/>
          <w:lang w:eastAsia="zh-CN"/>
          <w14:textFill>
            <w14:solidFill>
              <w14:schemeClr w14:val="tx1"/>
            </w14:solidFill>
          </w14:textFill>
        </w:rPr>
        <w:t>4  工艺原理</w:t>
      </w:r>
    </w:p>
    <w:p w14:paraId="17429708">
      <w:pPr>
        <w:pStyle w:val="2"/>
        <w:overflowPunct w:val="0"/>
        <w:spacing w:before="150" w:line="271" w:lineRule="auto"/>
        <w:ind w:right="45" w:firstLine="480" w:firstLineChars="200"/>
        <w:jc w:val="both"/>
        <w:outlineLvl w:val="1"/>
        <w:rPr>
          <w:rFonts w:hint="eastAsia" w:ascii="仿宋" w:hAnsi="仿宋" w:eastAsia="仿宋" w:cs="仿宋"/>
          <w:bCs/>
          <w:color w:val="000000" w:themeColor="text1"/>
          <w:lang w:eastAsia="zh-CN"/>
          <w14:textFill>
            <w14:solidFill>
              <w14:schemeClr w14:val="tx1"/>
            </w14:solidFill>
          </w14:textFill>
        </w:rPr>
      </w:pPr>
      <w:r>
        <w:rPr>
          <w:rFonts w:hint="eastAsia" w:ascii="仿宋" w:hAnsi="仿宋" w:eastAsia="仿宋" w:cs="仿宋"/>
          <w:bCs/>
          <w:color w:val="000000" w:themeColor="text1"/>
          <w:lang w:eastAsia="zh-CN"/>
          <w14:textFill>
            <w14:solidFill>
              <w14:schemeClr w14:val="tx1"/>
            </w14:solidFill>
          </w14:textFill>
        </w:rPr>
        <w:t>本工法的工艺原理是在环氧石墨烯锌粉粉末底涂中添加石墨烯环氧树脂粉末。石墨烯环氧树脂粉末能够在底涂涂层中组建超级电化学回路，充分利用涂层中的锌粉补充防腐所需电荷，增强涂层的阴极保护作用，减少锌粉用量。石墨烯为薄层片状结构，在与环氧树脂交联时呈横向排列，起到结构交联及封闭作用，有效阻挡分子渗透侵蚀，提升底涂的防电化学腐蚀、耐粉化、耐风化和耐酸雨侵蚀性能，延长底涂的综合防腐寿命，为后续面涂提供稳固基础。降低锌粉用量改善了传统环氧富锌底涂中涂层漆膜的“脆度”缺陷，提升底涂的附着力、硬度和韧性等综合性能，增强锌粉的分散能力，减少锌资源浪费。</w:t>
      </w:r>
    </w:p>
    <w:p w14:paraId="70A8D29D">
      <w:pPr>
        <w:pStyle w:val="2"/>
        <w:overflowPunct w:val="0"/>
        <w:spacing w:before="151" w:line="186" w:lineRule="auto"/>
        <w:ind w:left="41"/>
        <w:rPr>
          <w:rFonts w:hint="eastAsia" w:ascii="仿宋" w:hAnsi="仿宋" w:eastAsia="仿宋" w:cs="仿宋"/>
          <w:color w:val="000000" w:themeColor="text1"/>
          <w:spacing w:val="-16"/>
          <w:lang w:eastAsia="zh-CN"/>
          <w14:textFill>
            <w14:solidFill>
              <w14:schemeClr w14:val="tx1"/>
            </w14:solidFill>
          </w14:textFill>
        </w:rPr>
      </w:pPr>
      <w:r>
        <w:rPr>
          <w:rFonts w:hint="eastAsia" w:ascii="仿宋" w:hAnsi="仿宋" w:eastAsia="仿宋" w:cs="仿宋"/>
          <w:color w:val="000000" w:themeColor="text1"/>
          <w:spacing w:val="-16"/>
          <w:lang w:eastAsia="zh-CN"/>
          <w14:textFill>
            <w14:solidFill>
              <w14:schemeClr w14:val="tx1"/>
            </w14:solidFill>
          </w14:textFill>
        </w:rPr>
        <w:t>5  施工工艺流程及操作要点</w:t>
      </w:r>
    </w:p>
    <w:p w14:paraId="17A4C088">
      <w:pPr>
        <w:pStyle w:val="2"/>
        <w:overflowPunct w:val="0"/>
        <w:spacing w:before="150" w:line="271" w:lineRule="auto"/>
        <w:ind w:left="23" w:right="45" w:firstLine="476"/>
        <w:jc w:val="both"/>
        <w:outlineLvl w:val="1"/>
        <w:rPr>
          <w:rFonts w:hint="eastAsia" w:ascii="仿宋" w:hAnsi="仿宋" w:eastAsia="仿宋" w:cs="仿宋"/>
          <w:bCs/>
          <w:color w:val="000000" w:themeColor="text1"/>
          <w:lang w:eastAsia="zh-CN"/>
          <w14:textFill>
            <w14:solidFill>
              <w14:schemeClr w14:val="tx1"/>
            </w14:solidFill>
          </w14:textFill>
        </w:rPr>
      </w:pPr>
      <w:r>
        <w:rPr>
          <w:rFonts w:hint="eastAsia" w:ascii="仿宋" w:hAnsi="仿宋" w:eastAsia="仿宋" w:cs="仿宋"/>
          <w:bCs/>
          <w:color w:val="000000" w:themeColor="text1"/>
          <w:lang w:eastAsia="zh-CN"/>
          <w14:textFill>
            <w14:solidFill>
              <w14:schemeClr w14:val="tx1"/>
            </w14:solidFill>
          </w14:textFill>
        </w:rPr>
        <w:t>5.1  施工工艺流程</w:t>
      </w:r>
    </w:p>
    <w:p w14:paraId="267ADFAC">
      <w:pPr>
        <w:pStyle w:val="2"/>
        <w:overflowPunct w:val="0"/>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利用氟碳烯锌基复合粉末涂层实现钢结构波形护栏防腐的施工工艺流程如图5.1和图5.2所示。</w:t>
      </w:r>
    </w:p>
    <w:p w14:paraId="52E3A126">
      <w:pPr>
        <w:pStyle w:val="2"/>
        <w:overflowPunct w:val="0"/>
        <w:spacing w:before="150" w:line="271" w:lineRule="auto"/>
        <w:jc w:val="center"/>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bCs/>
          <w:color w:val="000000" w:themeColor="text1"/>
          <w:sz w:val="28"/>
          <w:szCs w:val="28"/>
          <w14:textFill>
            <w14:solidFill>
              <w14:schemeClr w14:val="tx1"/>
            </w14:solidFill>
          </w14:textFill>
        </w:rPr>
        <w:drawing>
          <wp:inline distT="0" distB="0" distL="0" distR="0">
            <wp:extent cx="5039995" cy="1510030"/>
            <wp:effectExtent l="0" t="0" r="0" b="0"/>
            <wp:docPr id="43" name="图片 43" descr="微信图片_20240417165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微信图片_20240417165245"/>
                    <pic:cNvPicPr>
                      <a:picLocks noChangeAspect="1"/>
                    </pic:cNvPicPr>
                  </pic:nvPicPr>
                  <pic:blipFill>
                    <a:blip r:embed="rId5" cstate="print">
                      <a:extLst>
                        <a:ext uri="{28A0092B-C50C-407E-A947-70E740481C1C}">
                          <a14:useLocalDpi xmlns:a14="http://schemas.microsoft.com/office/drawing/2010/main" val="0"/>
                        </a:ext>
                      </a:extLst>
                    </a:blip>
                    <a:srcRect t="12913" b="49697"/>
                    <a:stretch>
                      <a:fillRect/>
                    </a:stretch>
                  </pic:blipFill>
                  <pic:spPr>
                    <a:xfrm>
                      <a:off x="0" y="0"/>
                      <a:ext cx="5040000" cy="1510536"/>
                    </a:xfrm>
                    <a:prstGeom prst="rect">
                      <a:avLst/>
                    </a:prstGeom>
                    <a:ln>
                      <a:noFill/>
                    </a:ln>
                  </pic:spPr>
                </pic:pic>
              </a:graphicData>
            </a:graphic>
          </wp:inline>
        </w:drawing>
      </w:r>
    </w:p>
    <w:p w14:paraId="01AA1C94">
      <w:pPr>
        <w:pStyle w:val="2"/>
        <w:overflowPunct w:val="0"/>
        <w:spacing w:before="263" w:line="190" w:lineRule="auto"/>
        <w:jc w:val="center"/>
        <w:rPr>
          <w:rFonts w:hint="eastAsia" w:ascii="仿宋" w:hAnsi="仿宋" w:eastAsia="仿宋" w:cs="仿宋"/>
          <w:color w:val="000000" w:themeColor="text1"/>
          <w:spacing w:val="7"/>
          <w:sz w:val="20"/>
          <w:szCs w:val="20"/>
          <w:lang w:eastAsia="zh-CN"/>
          <w14:textFill>
            <w14:solidFill>
              <w14:schemeClr w14:val="tx1"/>
            </w14:solidFill>
          </w14:textFill>
        </w:rPr>
      </w:pPr>
      <w:r>
        <w:rPr>
          <w:rFonts w:hint="eastAsia" w:ascii="仿宋" w:hAnsi="仿宋" w:eastAsia="仿宋" w:cs="仿宋"/>
          <w:color w:val="000000" w:themeColor="text1"/>
          <w:spacing w:val="7"/>
          <w:sz w:val="20"/>
          <w:szCs w:val="20"/>
          <w:lang w:eastAsia="zh-CN"/>
          <w14:textFill>
            <w14:solidFill>
              <w14:schemeClr w14:val="tx1"/>
            </w14:solidFill>
          </w14:textFill>
        </w:rPr>
        <w:t>图  5.1</w:t>
      </w:r>
      <w:r>
        <w:rPr>
          <w:rFonts w:hint="eastAsia" w:ascii="仿宋" w:hAnsi="仿宋" w:eastAsia="仿宋" w:cs="仿宋"/>
          <w:color w:val="000000" w:themeColor="text1"/>
          <w:spacing w:val="59"/>
          <w:sz w:val="20"/>
          <w:szCs w:val="20"/>
          <w:lang w:eastAsia="zh-CN"/>
          <w14:textFill>
            <w14:solidFill>
              <w14:schemeClr w14:val="tx1"/>
            </w14:solidFill>
          </w14:textFill>
        </w:rPr>
        <w:t xml:space="preserve"> </w:t>
      </w:r>
      <w:r>
        <w:rPr>
          <w:rFonts w:hint="eastAsia" w:ascii="仿宋" w:hAnsi="仿宋" w:eastAsia="仿宋" w:cs="仿宋"/>
          <w:color w:val="000000" w:themeColor="text1"/>
          <w:spacing w:val="7"/>
          <w:sz w:val="20"/>
          <w:szCs w:val="20"/>
          <w:lang w:eastAsia="zh-CN"/>
          <w14:textFill>
            <w14:solidFill>
              <w14:schemeClr w14:val="tx1"/>
            </w14:solidFill>
          </w14:textFill>
        </w:rPr>
        <w:t>氟碳烯锌基粉末复合涂层施工工艺流程图</w:t>
      </w:r>
    </w:p>
    <w:p w14:paraId="76171136">
      <w:pPr>
        <w:pStyle w:val="2"/>
        <w:overflowPunct w:val="0"/>
        <w:spacing w:before="263" w:line="190" w:lineRule="auto"/>
        <w:jc w:val="center"/>
        <w:rPr>
          <w:rFonts w:hint="eastAsia" w:ascii="仿宋" w:hAnsi="仿宋" w:eastAsia="仿宋" w:cs="仿宋"/>
          <w:color w:val="000000" w:themeColor="text1"/>
          <w:sz w:val="20"/>
          <w:szCs w:val="20"/>
          <w:lang w:eastAsia="zh-CN"/>
          <w14:textFill>
            <w14:solidFill>
              <w14:schemeClr w14:val="tx1"/>
            </w14:solidFill>
          </w14:textFill>
        </w:rPr>
      </w:pPr>
      <w:r>
        <w:rPr>
          <w:rFonts w:hint="eastAsia" w:ascii="仿宋" w:hAnsi="仿宋" w:eastAsia="仿宋" w:cs="仿宋"/>
          <w:bCs/>
          <w:color w:val="000000" w:themeColor="text1"/>
          <w:sz w:val="28"/>
          <w:szCs w:val="28"/>
          <w14:textFill>
            <w14:solidFill>
              <w14:schemeClr w14:val="tx1"/>
            </w14:solidFill>
          </w14:textFill>
        </w:rPr>
        <w:drawing>
          <wp:inline distT="0" distB="0" distL="0" distR="0">
            <wp:extent cx="4319905" cy="1351915"/>
            <wp:effectExtent l="0" t="0" r="0" b="0"/>
            <wp:docPr id="35" name="图片 35" descr="微信图片_20240417165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微信图片_20240417165245"/>
                    <pic:cNvPicPr>
                      <a:picLocks noChangeAspect="1"/>
                    </pic:cNvPicPr>
                  </pic:nvPicPr>
                  <pic:blipFill>
                    <a:blip r:embed="rId5" cstate="print">
                      <a:extLst>
                        <a:ext uri="{28A0092B-C50C-407E-A947-70E740481C1C}">
                          <a14:useLocalDpi xmlns:a14="http://schemas.microsoft.com/office/drawing/2010/main" val="0"/>
                        </a:ext>
                      </a:extLst>
                    </a:blip>
                    <a:srcRect t="60964"/>
                    <a:stretch>
                      <a:fillRect/>
                    </a:stretch>
                  </pic:blipFill>
                  <pic:spPr>
                    <a:xfrm>
                      <a:off x="0" y="0"/>
                      <a:ext cx="4320000" cy="1352130"/>
                    </a:xfrm>
                    <a:prstGeom prst="rect">
                      <a:avLst/>
                    </a:prstGeom>
                    <a:ln>
                      <a:noFill/>
                    </a:ln>
                  </pic:spPr>
                </pic:pic>
              </a:graphicData>
            </a:graphic>
          </wp:inline>
        </w:drawing>
      </w:r>
    </w:p>
    <w:p w14:paraId="6DFC2E57">
      <w:pPr>
        <w:pStyle w:val="2"/>
        <w:overflowPunct w:val="0"/>
        <w:spacing w:before="263" w:line="190" w:lineRule="auto"/>
        <w:jc w:val="center"/>
        <w:rPr>
          <w:rFonts w:hint="eastAsia" w:ascii="仿宋" w:hAnsi="仿宋" w:eastAsia="仿宋" w:cs="仿宋"/>
          <w:color w:val="000000" w:themeColor="text1"/>
          <w:spacing w:val="7"/>
          <w:sz w:val="20"/>
          <w:szCs w:val="20"/>
          <w:lang w:eastAsia="zh-CN"/>
          <w14:textFill>
            <w14:solidFill>
              <w14:schemeClr w14:val="tx1"/>
            </w14:solidFill>
          </w14:textFill>
        </w:rPr>
      </w:pPr>
      <w:r>
        <w:rPr>
          <w:rFonts w:hint="eastAsia" w:ascii="仿宋" w:hAnsi="仿宋" w:eastAsia="仿宋" w:cs="仿宋"/>
          <w:color w:val="000000" w:themeColor="text1"/>
          <w:spacing w:val="7"/>
          <w:sz w:val="20"/>
          <w:szCs w:val="20"/>
          <w:lang w:eastAsia="zh-CN"/>
          <w14:textFill>
            <w14:solidFill>
              <w14:schemeClr w14:val="tx1"/>
            </w14:solidFill>
          </w14:textFill>
        </w:rPr>
        <w:t>图  5.1 防腐喷涂工艺流程图</w:t>
      </w:r>
    </w:p>
    <w:p w14:paraId="7E8AB05E">
      <w:pPr>
        <w:pStyle w:val="2"/>
        <w:overflowPunct w:val="0"/>
        <w:spacing w:before="150" w:line="271" w:lineRule="auto"/>
        <w:ind w:left="23" w:right="45" w:firstLine="476"/>
        <w:jc w:val="both"/>
        <w:outlineLvl w:val="1"/>
        <w:rPr>
          <w:rFonts w:hint="eastAsia" w:ascii="仿宋" w:hAnsi="仿宋" w:eastAsia="仿宋" w:cs="仿宋"/>
          <w:bCs/>
          <w:color w:val="000000" w:themeColor="text1"/>
          <w:lang w:eastAsia="zh-CN"/>
          <w14:textFill>
            <w14:solidFill>
              <w14:schemeClr w14:val="tx1"/>
            </w14:solidFill>
          </w14:textFill>
        </w:rPr>
      </w:pPr>
      <w:r>
        <w:rPr>
          <w:rFonts w:hint="eastAsia" w:ascii="仿宋" w:hAnsi="仿宋" w:eastAsia="仿宋" w:cs="仿宋"/>
          <w:bCs/>
          <w:color w:val="000000" w:themeColor="text1"/>
          <w:lang w:eastAsia="zh-CN"/>
          <w14:textFill>
            <w14:solidFill>
              <w14:schemeClr w14:val="tx1"/>
            </w14:solidFill>
          </w14:textFill>
        </w:rPr>
        <w:t>5.2 操作要点</w:t>
      </w:r>
    </w:p>
    <w:p w14:paraId="299D1497">
      <w:pPr>
        <w:pStyle w:val="2"/>
        <w:overflowPunct w:val="0"/>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5.2.1 静电粉末喷涂</w:t>
      </w:r>
      <w:r>
        <w:rPr>
          <w:rFonts w:hint="eastAsia" w:ascii="仿宋" w:hAnsi="仿宋" w:eastAsia="仿宋" w:cs="仿宋"/>
          <w:bCs/>
          <w:color w:val="000000" w:themeColor="text1"/>
          <w:lang w:eastAsia="zh-CN"/>
          <w14:textFill>
            <w14:solidFill>
              <w14:schemeClr w14:val="tx1"/>
            </w14:solidFill>
          </w14:textFill>
        </w:rPr>
        <w:t>环氧烯锌基粉末底漆</w:t>
      </w:r>
    </w:p>
    <w:p w14:paraId="0A2BA3E0">
      <w:pPr>
        <w:pStyle w:val="2"/>
        <w:overflowPunct w:val="0"/>
        <w:spacing w:before="150" w:line="271" w:lineRule="auto"/>
        <w:ind w:right="45" w:firstLine="480" w:firstLineChars="200"/>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bCs/>
          <w:color w:val="000000" w:themeColor="text1"/>
          <w:lang w:eastAsia="zh-CN"/>
          <w14:textFill>
            <w14:solidFill>
              <w14:schemeClr w14:val="tx1"/>
            </w14:solidFill>
          </w14:textFill>
        </w:rPr>
        <w:t>5.2.1.1 成型后的黑件护栏立柱、波形板通过模锻悬挂输送系统的输送；进入抛丸清理机对钢构件进行抛丸清理，</w:t>
      </w:r>
      <w:r>
        <w:rPr>
          <w:rFonts w:hint="eastAsia" w:ascii="仿宋" w:hAnsi="仿宋" w:eastAsia="仿宋" w:cs="仿宋"/>
          <w:color w:val="000000" w:themeColor="text1"/>
          <w:lang w:eastAsia="zh-CN"/>
          <w14:textFill>
            <w14:solidFill>
              <w14:schemeClr w14:val="tx1"/>
            </w14:solidFill>
          </w14:textFill>
        </w:rPr>
        <w:t>除锈达到Sa2.5级。</w:t>
      </w:r>
    </w:p>
    <w:p w14:paraId="473A72A2">
      <w:pPr>
        <w:pStyle w:val="2"/>
        <w:overflowPunct w:val="0"/>
        <w:spacing w:before="150" w:line="271" w:lineRule="auto"/>
        <w:ind w:right="45" w:firstLine="480" w:firstLineChars="200"/>
        <w:jc w:val="both"/>
        <w:rPr>
          <w:rFonts w:hint="eastAsia" w:ascii="仿宋" w:hAnsi="仿宋" w:eastAsia="仿宋" w:cs="仿宋"/>
          <w:bCs/>
          <w:color w:val="000000" w:themeColor="text1"/>
          <w:lang w:eastAsia="zh-CN"/>
          <w14:textFill>
            <w14:solidFill>
              <w14:schemeClr w14:val="tx1"/>
            </w14:solidFill>
          </w14:textFill>
        </w:rPr>
      </w:pPr>
      <w:r>
        <w:rPr>
          <w:rFonts w:hint="eastAsia" w:ascii="仿宋" w:hAnsi="仿宋" w:eastAsia="仿宋" w:cs="仿宋"/>
          <w:bCs/>
          <w:color w:val="000000" w:themeColor="text1"/>
          <w:lang w:eastAsia="zh-CN"/>
          <w14:textFill>
            <w14:solidFill>
              <w14:schemeClr w14:val="tx1"/>
            </w14:solidFill>
          </w14:textFill>
        </w:rPr>
        <w:t>5.2.1.2 抛丸后的工件随输送系统进入1号喷粉室粉屏蔽房进行环氧烯锌基粉末底漆的静电粉末喷涂，底漆粉末在供粉器中与空气混合后被送入喷粉枪，将高压静电发生器产生的高电压接到喷粉枪内；喷涂底漆后的工件随输送系统进入1号固化炉，对附着在工件上的环氧烯锌基粉末进行固化。</w:t>
      </w:r>
    </w:p>
    <w:p w14:paraId="284C9BC7">
      <w:pPr>
        <w:pStyle w:val="2"/>
        <w:overflowPunct w:val="0"/>
        <w:spacing w:before="150" w:line="271" w:lineRule="auto"/>
        <w:ind w:right="45" w:firstLine="480" w:firstLineChars="200"/>
        <w:jc w:val="both"/>
        <w:rPr>
          <w:rFonts w:hint="eastAsia" w:ascii="仿宋" w:hAnsi="仿宋" w:eastAsia="仿宋" w:cs="仿宋"/>
          <w:bCs/>
          <w:color w:val="000000" w:themeColor="text1"/>
          <w:lang w:eastAsia="zh-CN"/>
          <w14:textFill>
            <w14:solidFill>
              <w14:schemeClr w14:val="tx1"/>
            </w14:solidFill>
          </w14:textFill>
        </w:rPr>
      </w:pPr>
      <w:r>
        <w:rPr>
          <w:rFonts w:hint="eastAsia" w:ascii="仿宋" w:hAnsi="仿宋" w:eastAsia="仿宋" w:cs="仿宋"/>
          <w:bCs/>
          <w:color w:val="000000" w:themeColor="text1"/>
          <w:lang w:eastAsia="zh-CN"/>
          <w14:textFill>
            <w14:solidFill>
              <w14:schemeClr w14:val="tx1"/>
            </w14:solidFill>
          </w14:textFill>
        </w:rPr>
        <w:t>5.2.1.3 底涂1-2道，进行烘烤，干膜厚度为36-66μm。</w:t>
      </w:r>
      <w:r>
        <w:rPr>
          <w:rFonts w:hint="eastAsia" w:ascii="仿宋" w:hAnsi="仿宋" w:eastAsia="仿宋" w:cs="仿宋"/>
          <w:color w:val="000000" w:themeColor="text1"/>
          <w:lang w:eastAsia="zh-CN"/>
          <w14:textFill>
            <w14:solidFill>
              <w14:schemeClr w14:val="tx1"/>
            </w14:solidFill>
          </w14:textFill>
        </w:rPr>
        <w:t>烘烤分为以下三个阶段：1）低温预热阶段，在2-3min内，从常温升温至100℃；2）高温区，在3-5min内，从100℃升温至180-200℃，并维持10-15min；3）降温区，缓慢降至常温，降温时间为10-20min。</w:t>
      </w:r>
    </w:p>
    <w:p w14:paraId="1E00DC7D">
      <w:pPr>
        <w:pStyle w:val="2"/>
        <w:overflowPunct w:val="0"/>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 xml:space="preserve">5.2.2 </w:t>
      </w:r>
      <w:r>
        <w:rPr>
          <w:rFonts w:hint="eastAsia" w:ascii="仿宋" w:hAnsi="仿宋" w:eastAsia="仿宋" w:cs="仿宋"/>
          <w:bCs/>
          <w:color w:val="000000" w:themeColor="text1"/>
          <w:lang w:eastAsia="zh-CN"/>
          <w14:textFill>
            <w14:solidFill>
              <w14:schemeClr w14:val="tx1"/>
            </w14:solidFill>
          </w14:textFill>
        </w:rPr>
        <w:t>静电粉末喷涂氟碳面漆</w:t>
      </w:r>
    </w:p>
    <w:p w14:paraId="22176DEB">
      <w:pPr>
        <w:pStyle w:val="2"/>
        <w:overflowPunct w:val="0"/>
        <w:spacing w:before="150" w:line="271" w:lineRule="auto"/>
        <w:ind w:right="45" w:firstLine="480" w:firstLineChars="200"/>
        <w:jc w:val="both"/>
        <w:rPr>
          <w:rFonts w:hint="eastAsia" w:ascii="仿宋" w:hAnsi="仿宋" w:eastAsia="仿宋" w:cs="仿宋"/>
          <w:bCs/>
          <w:color w:val="000000" w:themeColor="text1"/>
          <w:lang w:eastAsia="zh-CN"/>
          <w14:textFill>
            <w14:solidFill>
              <w14:schemeClr w14:val="tx1"/>
            </w14:solidFill>
          </w14:textFill>
        </w:rPr>
      </w:pPr>
      <w:r>
        <w:rPr>
          <w:rFonts w:hint="eastAsia" w:ascii="仿宋" w:hAnsi="仿宋" w:eastAsia="仿宋" w:cs="仿宋"/>
          <w:bCs/>
          <w:color w:val="000000" w:themeColor="text1"/>
          <w:lang w:eastAsia="zh-CN"/>
          <w14:textFill>
            <w14:solidFill>
              <w14:schemeClr w14:val="tx1"/>
            </w14:solidFill>
          </w14:textFill>
        </w:rPr>
        <w:t>5.2.2.1 底漆固化后的工件进入2号喷粉室粉屏蔽房进行氟碳面漆喷涂</w:t>
      </w:r>
      <w:r>
        <w:rPr>
          <w:rFonts w:hint="eastAsia" w:ascii="仿宋" w:hAnsi="仿宋" w:eastAsia="仿宋" w:cs="仿宋"/>
          <w:color w:val="000000" w:themeColor="text1"/>
          <w:lang w:eastAsia="zh-CN"/>
          <w14:textFill>
            <w14:solidFill>
              <w14:schemeClr w14:val="tx1"/>
            </w14:solidFill>
          </w14:textFill>
        </w:rPr>
        <w:t>，</w:t>
      </w:r>
      <w:r>
        <w:rPr>
          <w:rFonts w:hint="eastAsia" w:ascii="仿宋" w:hAnsi="仿宋" w:eastAsia="仿宋" w:cs="仿宋"/>
          <w:bCs/>
          <w:color w:val="000000" w:themeColor="text1"/>
          <w:lang w:eastAsia="zh-CN"/>
          <w14:textFill>
            <w14:solidFill>
              <w14:schemeClr w14:val="tx1"/>
            </w14:solidFill>
          </w14:textFill>
        </w:rPr>
        <w:t>喷涂氟碳面漆后的工件随输送系统进入2号固化炉，对附着在工件上的氟碳面漆粉末进行固化；工件在涂装线上经过一个循环完成防腐涂装，自然冷却后在下件区下件。</w:t>
      </w:r>
    </w:p>
    <w:p w14:paraId="77E0A749">
      <w:pPr>
        <w:pStyle w:val="2"/>
        <w:overflowPunct w:val="0"/>
        <w:spacing w:before="150" w:line="271" w:lineRule="auto"/>
        <w:ind w:right="45" w:firstLine="480" w:firstLineChars="200"/>
        <w:jc w:val="both"/>
        <w:rPr>
          <w:rFonts w:hint="eastAsia" w:ascii="仿宋" w:hAnsi="仿宋" w:eastAsia="仿宋" w:cs="仿宋"/>
          <w:bCs/>
          <w:color w:val="000000" w:themeColor="text1"/>
          <w:lang w:eastAsia="zh-CN"/>
          <w14:textFill>
            <w14:solidFill>
              <w14:schemeClr w14:val="tx1"/>
            </w14:solidFill>
          </w14:textFill>
        </w:rPr>
      </w:pPr>
      <w:r>
        <w:rPr>
          <w:rFonts w:hint="eastAsia" w:ascii="仿宋" w:hAnsi="仿宋" w:eastAsia="仿宋" w:cs="仿宋"/>
          <w:bCs/>
          <w:color w:val="000000" w:themeColor="text1"/>
          <w:lang w:eastAsia="zh-CN"/>
          <w14:textFill>
            <w14:solidFill>
              <w14:schemeClr w14:val="tx1"/>
            </w14:solidFill>
          </w14:textFill>
        </w:rPr>
        <w:t>5.2.2.2 静电粉末喷涂氟碳面涂1-2道，并进行烘烤，干膜厚度为70-90μm，烘烤分为以下三个阶段：</w:t>
      </w:r>
      <w:r>
        <w:rPr>
          <w:rFonts w:hint="eastAsia" w:ascii="仿宋" w:hAnsi="仿宋" w:eastAsia="仿宋" w:cs="仿宋"/>
          <w:color w:val="000000" w:themeColor="text1"/>
          <w:lang w:eastAsia="zh-CN"/>
          <w14:textFill>
            <w14:solidFill>
              <w14:schemeClr w14:val="tx1"/>
            </w14:solidFill>
          </w14:textFill>
        </w:rPr>
        <w:t>1）低温预热阶段，在2-3min内，从常温升温至100℃；2）高温区，在3-5min内，从100℃升温至180-200℃，并维持10-20min；3）降温区，缓慢降至常温，降温时间为10-20min。</w:t>
      </w:r>
    </w:p>
    <w:p w14:paraId="007E9056">
      <w:pPr>
        <w:pStyle w:val="2"/>
        <w:overflowPunct w:val="0"/>
        <w:spacing w:before="150" w:line="271" w:lineRule="auto"/>
        <w:jc w:val="center"/>
        <w:rPr>
          <w:rFonts w:hint="eastAsia" w:ascii="仿宋" w:hAnsi="仿宋" w:eastAsia="仿宋" w:cs="仿宋"/>
          <w:bCs/>
          <w:color w:val="000000" w:themeColor="text1"/>
          <w:lang w:eastAsia="zh-CN"/>
          <w14:textFill>
            <w14:solidFill>
              <w14:schemeClr w14:val="tx1"/>
            </w14:solidFill>
          </w14:textFill>
        </w:rPr>
      </w:pPr>
      <w:r>
        <w:rPr>
          <w:rFonts w:hint="eastAsia" w:ascii="仿宋" w:hAnsi="仿宋" w:eastAsia="仿宋" w:cs="仿宋"/>
          <w:bCs/>
          <w:color w:val="000000" w:themeColor="text1"/>
          <w:lang w:eastAsia="zh-CN"/>
          <w14:textFill>
            <w14:solidFill>
              <w14:schemeClr w14:val="tx1"/>
            </w14:solidFill>
          </w14:textFill>
        </w:rPr>
        <w:drawing>
          <wp:inline distT="0" distB="0" distL="0" distR="0">
            <wp:extent cx="4319905" cy="4710430"/>
            <wp:effectExtent l="0" t="0" r="4445" b="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4320000" cy="4710595"/>
                    </a:xfrm>
                    <a:prstGeom prst="rect">
                      <a:avLst/>
                    </a:prstGeom>
                    <a:noFill/>
                  </pic:spPr>
                </pic:pic>
              </a:graphicData>
            </a:graphic>
          </wp:inline>
        </w:drawing>
      </w:r>
    </w:p>
    <w:p w14:paraId="1273ED9D">
      <w:pPr>
        <w:pStyle w:val="2"/>
        <w:overflowPunct w:val="0"/>
        <w:spacing w:before="263" w:line="190" w:lineRule="auto"/>
        <w:jc w:val="center"/>
        <w:rPr>
          <w:rFonts w:hint="eastAsia" w:ascii="仿宋" w:hAnsi="仿宋" w:eastAsia="仿宋" w:cs="仿宋"/>
          <w:color w:val="000000" w:themeColor="text1"/>
          <w:spacing w:val="7"/>
          <w:sz w:val="20"/>
          <w:szCs w:val="20"/>
          <w:lang w:eastAsia="zh-CN"/>
          <w14:textFill>
            <w14:solidFill>
              <w14:schemeClr w14:val="tx1"/>
            </w14:solidFill>
          </w14:textFill>
        </w:rPr>
      </w:pPr>
      <w:r>
        <w:rPr>
          <w:rFonts w:hint="eastAsia" w:ascii="仿宋" w:hAnsi="仿宋" w:eastAsia="仿宋" w:cs="仿宋"/>
          <w:color w:val="000000" w:themeColor="text1"/>
          <w:spacing w:val="7"/>
          <w:sz w:val="20"/>
          <w:szCs w:val="20"/>
          <w:lang w:eastAsia="zh-CN"/>
          <w14:textFill>
            <w14:solidFill>
              <w14:schemeClr w14:val="tx1"/>
            </w14:solidFill>
          </w14:textFill>
        </w:rPr>
        <w:t>图  5.3 工件涂装过程图</w:t>
      </w:r>
    </w:p>
    <w:p w14:paraId="046F669F">
      <w:pPr>
        <w:pStyle w:val="2"/>
        <w:overflowPunct w:val="0"/>
        <w:spacing w:before="151" w:line="186" w:lineRule="auto"/>
        <w:ind w:left="41"/>
        <w:rPr>
          <w:rFonts w:hint="eastAsia" w:ascii="仿宋" w:hAnsi="仿宋" w:eastAsia="仿宋" w:cs="仿宋"/>
          <w:color w:val="000000" w:themeColor="text1"/>
          <w:spacing w:val="-16"/>
          <w:lang w:eastAsia="zh-CN"/>
          <w14:textFill>
            <w14:solidFill>
              <w14:schemeClr w14:val="tx1"/>
            </w14:solidFill>
          </w14:textFill>
        </w:rPr>
      </w:pPr>
      <w:r>
        <w:rPr>
          <w:rFonts w:hint="eastAsia" w:ascii="仿宋" w:hAnsi="仿宋" w:eastAsia="仿宋" w:cs="仿宋"/>
          <w:color w:val="000000" w:themeColor="text1"/>
          <w:spacing w:val="-16"/>
          <w:lang w:eastAsia="zh-CN"/>
          <w14:textFill>
            <w14:solidFill>
              <w14:schemeClr w14:val="tx1"/>
            </w14:solidFill>
          </w14:textFill>
        </w:rPr>
        <w:t>6  材料与设备</w:t>
      </w:r>
    </w:p>
    <w:p w14:paraId="40C0A4C9">
      <w:pPr>
        <w:pStyle w:val="2"/>
        <w:overflowPunct w:val="0"/>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主要材料与设备如表6-1。</w:t>
      </w:r>
    </w:p>
    <w:p w14:paraId="397E8BFF">
      <w:pPr>
        <w:pStyle w:val="2"/>
        <w:overflowPunct w:val="0"/>
        <w:spacing w:before="67" w:line="191" w:lineRule="auto"/>
        <w:ind w:left="3295"/>
        <w:rPr>
          <w:rFonts w:hint="eastAsia" w:ascii="仿宋" w:hAnsi="仿宋" w:eastAsia="仿宋" w:cs="仿宋"/>
          <w:color w:val="000000" w:themeColor="text1"/>
          <w:sz w:val="20"/>
          <w:szCs w:val="20"/>
          <w:lang w:eastAsia="zh-CN"/>
          <w14:textFill>
            <w14:solidFill>
              <w14:schemeClr w14:val="tx1"/>
            </w14:solidFill>
          </w14:textFill>
        </w:rPr>
      </w:pPr>
      <w:bookmarkStart w:id="0" w:name="_Hlk196743641"/>
      <w:r>
        <w:rPr>
          <w:rFonts w:hint="eastAsia" w:ascii="仿宋" w:hAnsi="仿宋" w:eastAsia="仿宋" w:cs="仿宋"/>
          <w:color w:val="000000" w:themeColor="text1"/>
          <w:spacing w:val="2"/>
          <w:sz w:val="20"/>
          <w:szCs w:val="20"/>
          <w:lang w:eastAsia="zh-CN"/>
          <w14:textFill>
            <w14:solidFill>
              <w14:schemeClr w14:val="tx1"/>
            </w14:solidFill>
          </w14:textFill>
        </w:rPr>
        <w:t>表 6-1</w:t>
      </w:r>
      <w:r>
        <w:rPr>
          <w:rFonts w:hint="eastAsia" w:ascii="仿宋" w:hAnsi="仿宋" w:eastAsia="仿宋" w:cs="仿宋"/>
          <w:color w:val="000000" w:themeColor="text1"/>
          <w:spacing w:val="64"/>
          <w:sz w:val="20"/>
          <w:szCs w:val="20"/>
          <w:lang w:eastAsia="zh-CN"/>
          <w14:textFill>
            <w14:solidFill>
              <w14:schemeClr w14:val="tx1"/>
            </w14:solidFill>
          </w14:textFill>
        </w:rPr>
        <w:t xml:space="preserve"> </w:t>
      </w:r>
      <w:r>
        <w:rPr>
          <w:rFonts w:hint="eastAsia" w:ascii="仿宋" w:hAnsi="仿宋" w:eastAsia="仿宋" w:cs="仿宋"/>
          <w:color w:val="000000" w:themeColor="text1"/>
          <w:spacing w:val="2"/>
          <w:sz w:val="20"/>
          <w:szCs w:val="20"/>
          <w:lang w:eastAsia="zh-CN"/>
          <w14:textFill>
            <w14:solidFill>
              <w14:schemeClr w14:val="tx1"/>
            </w14:solidFill>
          </w14:textFill>
        </w:rPr>
        <w:t>材料与设备表</w:t>
      </w:r>
    </w:p>
    <w:bookmarkEnd w:id="0"/>
    <w:p w14:paraId="46CD970B">
      <w:pPr>
        <w:overflowPunct w:val="0"/>
        <w:spacing w:line="105" w:lineRule="exact"/>
        <w:rPr>
          <w:rFonts w:hint="eastAsia" w:ascii="仿宋" w:hAnsi="仿宋" w:eastAsia="仿宋" w:cs="仿宋"/>
          <w:color w:val="000000" w:themeColor="text1"/>
          <w:lang w:eastAsia="zh-CN"/>
          <w14:textFill>
            <w14:solidFill>
              <w14:schemeClr w14:val="tx1"/>
            </w14:solidFill>
          </w14:textFill>
        </w:rPr>
      </w:pPr>
    </w:p>
    <w:tbl>
      <w:tblPr>
        <w:tblStyle w:val="6"/>
        <w:tblW w:w="852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61"/>
        <w:gridCol w:w="2674"/>
        <w:gridCol w:w="1993"/>
        <w:gridCol w:w="1535"/>
        <w:gridCol w:w="1161"/>
      </w:tblGrid>
      <w:tr w14:paraId="6C0AFAC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6" w:hRule="atLeast"/>
        </w:trPr>
        <w:tc>
          <w:tcPr>
            <w:tcW w:w="1161" w:type="dxa"/>
          </w:tcPr>
          <w:p w14:paraId="58285FEE">
            <w:pPr>
              <w:pStyle w:val="7"/>
              <w:overflowPunct w:val="0"/>
              <w:spacing w:before="132" w:line="192" w:lineRule="auto"/>
              <w:ind w:left="374"/>
              <w:rPr>
                <w:rFonts w:hint="eastAsia" w:ascii="仿宋" w:hAnsi="仿宋" w:eastAsia="仿宋" w:cs="仿宋"/>
                <w:color w:val="000000" w:themeColor="text1"/>
                <w:sz w:val="20"/>
                <w:szCs w:val="20"/>
                <w14:textFill>
                  <w14:solidFill>
                    <w14:schemeClr w14:val="tx1"/>
                  </w14:solidFill>
                </w14:textFill>
              </w:rPr>
            </w:pPr>
            <w:r>
              <w:rPr>
                <w:rFonts w:hint="eastAsia" w:ascii="仿宋" w:hAnsi="仿宋" w:eastAsia="仿宋" w:cs="仿宋"/>
                <w:color w:val="000000" w:themeColor="text1"/>
                <w:spacing w:val="5"/>
                <w:sz w:val="20"/>
                <w:szCs w:val="20"/>
                <w14:textFill>
                  <w14:solidFill>
                    <w14:schemeClr w14:val="tx1"/>
                  </w14:solidFill>
                </w14:textFill>
              </w:rPr>
              <w:t>编号</w:t>
            </w:r>
          </w:p>
        </w:tc>
        <w:tc>
          <w:tcPr>
            <w:tcW w:w="2674" w:type="dxa"/>
          </w:tcPr>
          <w:p w14:paraId="1FF50C9F">
            <w:pPr>
              <w:pStyle w:val="7"/>
              <w:overflowPunct w:val="0"/>
              <w:spacing w:before="132" w:line="192" w:lineRule="auto"/>
              <w:ind w:left="1132"/>
              <w:rPr>
                <w:rFonts w:hint="eastAsia" w:ascii="仿宋" w:hAnsi="仿宋" w:eastAsia="仿宋" w:cs="仿宋"/>
                <w:color w:val="000000" w:themeColor="text1"/>
                <w:sz w:val="20"/>
                <w:szCs w:val="20"/>
                <w14:textFill>
                  <w14:solidFill>
                    <w14:schemeClr w14:val="tx1"/>
                  </w14:solidFill>
                </w14:textFill>
              </w:rPr>
            </w:pPr>
            <w:r>
              <w:rPr>
                <w:rFonts w:hint="eastAsia" w:ascii="仿宋" w:hAnsi="仿宋" w:eastAsia="仿宋" w:cs="仿宋"/>
                <w:color w:val="000000" w:themeColor="text1"/>
                <w:spacing w:val="4"/>
                <w:sz w:val="20"/>
                <w:szCs w:val="20"/>
                <w14:textFill>
                  <w14:solidFill>
                    <w14:schemeClr w14:val="tx1"/>
                  </w14:solidFill>
                </w14:textFill>
              </w:rPr>
              <w:t>名称</w:t>
            </w:r>
          </w:p>
        </w:tc>
        <w:tc>
          <w:tcPr>
            <w:tcW w:w="1993" w:type="dxa"/>
          </w:tcPr>
          <w:p w14:paraId="16F1FD77">
            <w:pPr>
              <w:pStyle w:val="7"/>
              <w:overflowPunct w:val="0"/>
              <w:spacing w:before="132" w:line="191" w:lineRule="auto"/>
              <w:ind w:left="791"/>
              <w:rPr>
                <w:rFonts w:hint="eastAsia" w:ascii="仿宋" w:hAnsi="仿宋" w:eastAsia="仿宋" w:cs="仿宋"/>
                <w:color w:val="000000" w:themeColor="text1"/>
                <w:sz w:val="20"/>
                <w:szCs w:val="20"/>
                <w14:textFill>
                  <w14:solidFill>
                    <w14:schemeClr w14:val="tx1"/>
                  </w14:solidFill>
                </w14:textFill>
              </w:rPr>
            </w:pPr>
            <w:r>
              <w:rPr>
                <w:rFonts w:hint="eastAsia" w:ascii="仿宋" w:hAnsi="仿宋" w:eastAsia="仿宋" w:cs="仿宋"/>
                <w:color w:val="000000" w:themeColor="text1"/>
                <w:spacing w:val="5"/>
                <w:sz w:val="20"/>
                <w:szCs w:val="20"/>
                <w14:textFill>
                  <w14:solidFill>
                    <w14:schemeClr w14:val="tx1"/>
                  </w14:solidFill>
                </w14:textFill>
              </w:rPr>
              <w:t>规格</w:t>
            </w:r>
          </w:p>
        </w:tc>
        <w:tc>
          <w:tcPr>
            <w:tcW w:w="1535" w:type="dxa"/>
          </w:tcPr>
          <w:p w14:paraId="5C957F91">
            <w:pPr>
              <w:pStyle w:val="7"/>
              <w:overflowPunct w:val="0"/>
              <w:spacing w:before="132" w:line="191" w:lineRule="auto"/>
              <w:ind w:left="565"/>
              <w:rPr>
                <w:rFonts w:hint="eastAsia" w:ascii="仿宋" w:hAnsi="仿宋" w:eastAsia="仿宋" w:cs="仿宋"/>
                <w:color w:val="000000" w:themeColor="text1"/>
                <w:sz w:val="20"/>
                <w:szCs w:val="20"/>
                <w14:textFill>
                  <w14:solidFill>
                    <w14:schemeClr w14:val="tx1"/>
                  </w14:solidFill>
                </w14:textFill>
              </w:rPr>
            </w:pPr>
            <w:r>
              <w:rPr>
                <w:rFonts w:hint="eastAsia" w:ascii="仿宋" w:hAnsi="仿宋" w:eastAsia="仿宋" w:cs="仿宋"/>
                <w:color w:val="000000" w:themeColor="text1"/>
                <w:spacing w:val="5"/>
                <w:sz w:val="20"/>
                <w:szCs w:val="20"/>
                <w14:textFill>
                  <w14:solidFill>
                    <w14:schemeClr w14:val="tx1"/>
                  </w14:solidFill>
                </w14:textFill>
              </w:rPr>
              <w:t>单位</w:t>
            </w:r>
          </w:p>
        </w:tc>
        <w:tc>
          <w:tcPr>
            <w:tcW w:w="1161" w:type="dxa"/>
          </w:tcPr>
          <w:p w14:paraId="6E4BC67F">
            <w:pPr>
              <w:pStyle w:val="7"/>
              <w:overflowPunct w:val="0"/>
              <w:spacing w:before="132" w:line="191" w:lineRule="auto"/>
              <w:ind w:left="376"/>
              <w:rPr>
                <w:rFonts w:hint="eastAsia" w:ascii="仿宋" w:hAnsi="仿宋" w:eastAsia="仿宋" w:cs="仿宋"/>
                <w:color w:val="000000" w:themeColor="text1"/>
                <w:sz w:val="20"/>
                <w:szCs w:val="20"/>
                <w14:textFill>
                  <w14:solidFill>
                    <w14:schemeClr w14:val="tx1"/>
                  </w14:solidFill>
                </w14:textFill>
              </w:rPr>
            </w:pPr>
            <w:r>
              <w:rPr>
                <w:rFonts w:hint="eastAsia" w:ascii="仿宋" w:hAnsi="仿宋" w:eastAsia="仿宋" w:cs="仿宋"/>
                <w:color w:val="000000" w:themeColor="text1"/>
                <w:spacing w:val="5"/>
                <w:sz w:val="20"/>
                <w:szCs w:val="20"/>
                <w14:textFill>
                  <w14:solidFill>
                    <w14:schemeClr w14:val="tx1"/>
                  </w14:solidFill>
                </w14:textFill>
              </w:rPr>
              <w:t>数量</w:t>
            </w:r>
          </w:p>
        </w:tc>
      </w:tr>
      <w:tr w14:paraId="68C0BD3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3" w:hRule="atLeast"/>
        </w:trPr>
        <w:tc>
          <w:tcPr>
            <w:tcW w:w="1161" w:type="dxa"/>
          </w:tcPr>
          <w:p w14:paraId="7C42D1CB">
            <w:pPr>
              <w:pStyle w:val="7"/>
              <w:overflowPunct w:val="0"/>
              <w:spacing w:before="161" w:line="165" w:lineRule="auto"/>
              <w:ind w:left="546"/>
              <w:rPr>
                <w:rFonts w:hint="eastAsia" w:ascii="仿宋" w:hAnsi="仿宋" w:eastAsia="仿宋" w:cs="仿宋"/>
                <w:color w:val="000000" w:themeColor="text1"/>
                <w:sz w:val="20"/>
                <w:szCs w:val="20"/>
                <w14:textFill>
                  <w14:solidFill>
                    <w14:schemeClr w14:val="tx1"/>
                  </w14:solidFill>
                </w14:textFill>
              </w:rPr>
            </w:pPr>
            <w:r>
              <w:rPr>
                <w:rFonts w:hint="eastAsia" w:ascii="仿宋" w:hAnsi="仿宋" w:eastAsia="仿宋" w:cs="仿宋"/>
                <w:color w:val="000000" w:themeColor="text1"/>
                <w:sz w:val="20"/>
                <w:szCs w:val="20"/>
                <w14:textFill>
                  <w14:solidFill>
                    <w14:schemeClr w14:val="tx1"/>
                  </w14:solidFill>
                </w14:textFill>
              </w:rPr>
              <w:t>1</w:t>
            </w:r>
          </w:p>
        </w:tc>
        <w:tc>
          <w:tcPr>
            <w:tcW w:w="2674" w:type="dxa"/>
          </w:tcPr>
          <w:p w14:paraId="2A77598D">
            <w:pPr>
              <w:pStyle w:val="7"/>
              <w:overflowPunct w:val="0"/>
              <w:spacing w:before="128" w:line="193" w:lineRule="auto"/>
              <w:jc w:val="center"/>
              <w:rPr>
                <w:rFonts w:hint="eastAsia" w:ascii="仿宋" w:hAnsi="仿宋" w:eastAsia="仿宋" w:cs="仿宋"/>
                <w:color w:val="000000" w:themeColor="text1"/>
                <w:sz w:val="20"/>
                <w:szCs w:val="20"/>
                <w14:textFill>
                  <w14:solidFill>
                    <w14:schemeClr w14:val="tx1"/>
                  </w14:solidFill>
                </w14:textFill>
              </w:rPr>
            </w:pPr>
            <w:r>
              <w:rPr>
                <w:rFonts w:hint="eastAsia" w:ascii="仿宋" w:hAnsi="仿宋" w:eastAsia="仿宋" w:cs="仿宋"/>
                <w:bCs/>
                <w:color w:val="000000" w:themeColor="text1"/>
                <w:spacing w:val="6"/>
                <w:sz w:val="20"/>
                <w:szCs w:val="20"/>
                <w14:textFill>
                  <w14:solidFill>
                    <w14:schemeClr w14:val="tx1"/>
                  </w14:solidFill>
                </w14:textFill>
              </w:rPr>
              <w:t>环氧</w:t>
            </w:r>
            <w:r>
              <w:rPr>
                <w:rFonts w:hint="eastAsia" w:ascii="仿宋" w:hAnsi="仿宋" w:eastAsia="仿宋" w:cs="仿宋"/>
                <w:bCs/>
                <w:color w:val="000000" w:themeColor="text1"/>
                <w:spacing w:val="6"/>
                <w:sz w:val="20"/>
                <w:szCs w:val="20"/>
                <w:lang w:eastAsia="zh-CN"/>
                <w14:textFill>
                  <w14:solidFill>
                    <w14:schemeClr w14:val="tx1"/>
                  </w14:solidFill>
                </w14:textFill>
              </w:rPr>
              <w:t>石墨烯锌粉底</w:t>
            </w:r>
            <w:r>
              <w:rPr>
                <w:rFonts w:hint="eastAsia" w:ascii="仿宋" w:hAnsi="仿宋" w:eastAsia="仿宋" w:cs="仿宋"/>
                <w:bCs/>
                <w:color w:val="000000" w:themeColor="text1"/>
                <w:spacing w:val="6"/>
                <w:sz w:val="20"/>
                <w:szCs w:val="20"/>
                <w14:textFill>
                  <w14:solidFill>
                    <w14:schemeClr w14:val="tx1"/>
                  </w14:solidFill>
                </w14:textFill>
              </w:rPr>
              <w:t>粉</w:t>
            </w:r>
          </w:p>
        </w:tc>
        <w:tc>
          <w:tcPr>
            <w:tcW w:w="1993" w:type="dxa"/>
          </w:tcPr>
          <w:p w14:paraId="3FB332FD">
            <w:pPr>
              <w:pStyle w:val="7"/>
              <w:overflowPunct w:val="0"/>
              <w:spacing w:before="161" w:line="164" w:lineRule="auto"/>
              <w:jc w:val="center"/>
              <w:rPr>
                <w:rFonts w:hint="eastAsia" w:ascii="仿宋" w:hAnsi="仿宋" w:eastAsia="仿宋" w:cs="仿宋"/>
                <w:color w:val="000000" w:themeColor="text1"/>
                <w:sz w:val="20"/>
                <w:szCs w:val="20"/>
                <w:lang w:eastAsia="zh-CN"/>
                <w14:textFill>
                  <w14:solidFill>
                    <w14:schemeClr w14:val="tx1"/>
                  </w14:solidFill>
                </w14:textFill>
              </w:rPr>
            </w:pPr>
            <w:r>
              <w:rPr>
                <w:rFonts w:hint="eastAsia" w:ascii="仿宋" w:hAnsi="仿宋" w:eastAsia="仿宋" w:cs="仿宋"/>
                <w:color w:val="000000" w:themeColor="text1"/>
                <w:sz w:val="20"/>
                <w:szCs w:val="20"/>
                <w:lang w:eastAsia="zh-CN"/>
                <w14:textFill>
                  <w14:solidFill>
                    <w14:schemeClr w14:val="tx1"/>
                  </w14:solidFill>
                </w14:textFill>
              </w:rPr>
              <w:t>SMD1</w:t>
            </w:r>
          </w:p>
        </w:tc>
        <w:tc>
          <w:tcPr>
            <w:tcW w:w="1535" w:type="dxa"/>
          </w:tcPr>
          <w:p w14:paraId="58B7F9A9">
            <w:pPr>
              <w:pStyle w:val="7"/>
              <w:overflowPunct w:val="0"/>
              <w:spacing w:before="129" w:line="192" w:lineRule="auto"/>
              <w:jc w:val="center"/>
              <w:rPr>
                <w:rFonts w:hint="eastAsia" w:ascii="仿宋" w:hAnsi="仿宋" w:eastAsia="仿宋" w:cs="仿宋"/>
                <w:color w:val="000000" w:themeColor="text1"/>
                <w:sz w:val="20"/>
                <w:szCs w:val="20"/>
                <w:lang w:eastAsia="zh-CN"/>
                <w14:textFill>
                  <w14:solidFill>
                    <w14:schemeClr w14:val="tx1"/>
                  </w14:solidFill>
                </w14:textFill>
              </w:rPr>
            </w:pPr>
            <w:r>
              <w:rPr>
                <w:rFonts w:hint="eastAsia" w:ascii="仿宋" w:hAnsi="仿宋" w:eastAsia="仿宋" w:cs="仿宋"/>
                <w:color w:val="000000" w:themeColor="text1"/>
                <w:sz w:val="20"/>
                <w:szCs w:val="20"/>
                <w:lang w:eastAsia="zh-CN"/>
                <w14:textFill>
                  <w14:solidFill>
                    <w14:schemeClr w14:val="tx1"/>
                  </w14:solidFill>
                </w14:textFill>
              </w:rPr>
              <w:t>公斤</w:t>
            </w:r>
          </w:p>
        </w:tc>
        <w:tc>
          <w:tcPr>
            <w:tcW w:w="1161" w:type="dxa"/>
          </w:tcPr>
          <w:p w14:paraId="24F1BBDC">
            <w:pPr>
              <w:pStyle w:val="7"/>
              <w:overflowPunct w:val="0"/>
              <w:spacing w:before="129" w:line="192" w:lineRule="auto"/>
              <w:jc w:val="center"/>
              <w:rPr>
                <w:rFonts w:hint="eastAsia" w:ascii="仿宋" w:hAnsi="仿宋" w:eastAsia="仿宋" w:cs="仿宋"/>
                <w:color w:val="000000" w:themeColor="text1"/>
                <w:sz w:val="20"/>
                <w:szCs w:val="20"/>
                <w:lang w:eastAsia="zh-CN"/>
                <w14:textFill>
                  <w14:solidFill>
                    <w14:schemeClr w14:val="tx1"/>
                  </w14:solidFill>
                </w14:textFill>
              </w:rPr>
            </w:pPr>
            <w:r>
              <w:rPr>
                <w:rFonts w:hint="eastAsia" w:ascii="仿宋" w:hAnsi="仿宋" w:eastAsia="仿宋" w:cs="仿宋"/>
                <w:color w:val="000000" w:themeColor="text1"/>
                <w:sz w:val="20"/>
                <w:szCs w:val="20"/>
                <w:lang w:eastAsia="zh-CN"/>
                <w14:textFill>
                  <w14:solidFill>
                    <w14:schemeClr w14:val="tx1"/>
                  </w14:solidFill>
                </w14:textFill>
              </w:rPr>
              <w:t>1200</w:t>
            </w:r>
          </w:p>
        </w:tc>
      </w:tr>
      <w:tr w14:paraId="73C4040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3" w:hRule="atLeast"/>
        </w:trPr>
        <w:tc>
          <w:tcPr>
            <w:tcW w:w="1161" w:type="dxa"/>
          </w:tcPr>
          <w:p w14:paraId="4528B097">
            <w:pPr>
              <w:pStyle w:val="7"/>
              <w:overflowPunct w:val="0"/>
              <w:spacing w:before="162" w:line="164" w:lineRule="auto"/>
              <w:ind w:left="533"/>
              <w:rPr>
                <w:rFonts w:hint="eastAsia" w:ascii="仿宋" w:hAnsi="仿宋" w:eastAsia="仿宋" w:cs="仿宋"/>
                <w:color w:val="000000" w:themeColor="text1"/>
                <w:sz w:val="20"/>
                <w:szCs w:val="20"/>
                <w14:textFill>
                  <w14:solidFill>
                    <w14:schemeClr w14:val="tx1"/>
                  </w14:solidFill>
                </w14:textFill>
              </w:rPr>
            </w:pPr>
            <w:r>
              <w:rPr>
                <w:rFonts w:hint="eastAsia" w:ascii="仿宋" w:hAnsi="仿宋" w:eastAsia="仿宋" w:cs="仿宋"/>
                <w:color w:val="000000" w:themeColor="text1"/>
                <w:sz w:val="20"/>
                <w:szCs w:val="20"/>
                <w14:textFill>
                  <w14:solidFill>
                    <w14:schemeClr w14:val="tx1"/>
                  </w14:solidFill>
                </w14:textFill>
              </w:rPr>
              <w:t>2</w:t>
            </w:r>
          </w:p>
        </w:tc>
        <w:tc>
          <w:tcPr>
            <w:tcW w:w="2674" w:type="dxa"/>
          </w:tcPr>
          <w:p w14:paraId="450B6C1E">
            <w:pPr>
              <w:pStyle w:val="7"/>
              <w:overflowPunct w:val="0"/>
              <w:spacing w:before="128" w:line="190" w:lineRule="auto"/>
              <w:ind w:left="920"/>
              <w:rPr>
                <w:rFonts w:hint="eastAsia" w:ascii="仿宋" w:hAnsi="仿宋" w:eastAsia="仿宋" w:cs="仿宋"/>
                <w:color w:val="000000" w:themeColor="text1"/>
                <w:sz w:val="20"/>
                <w:szCs w:val="20"/>
                <w:lang w:eastAsia="zh-CN"/>
                <w14:textFill>
                  <w14:solidFill>
                    <w14:schemeClr w14:val="tx1"/>
                  </w14:solidFill>
                </w14:textFill>
              </w:rPr>
            </w:pPr>
            <w:r>
              <w:rPr>
                <w:rFonts w:hint="eastAsia" w:ascii="仿宋" w:hAnsi="仿宋" w:eastAsia="仿宋" w:cs="仿宋"/>
                <w:bCs/>
                <w:color w:val="000000" w:themeColor="text1"/>
                <w:spacing w:val="7"/>
                <w:sz w:val="20"/>
                <w:szCs w:val="20"/>
                <w14:textFill>
                  <w14:solidFill>
                    <w14:schemeClr w14:val="tx1"/>
                  </w14:solidFill>
                </w14:textFill>
              </w:rPr>
              <w:t>氟碳面</w:t>
            </w:r>
            <w:r>
              <w:rPr>
                <w:rFonts w:hint="eastAsia" w:ascii="仿宋" w:hAnsi="仿宋" w:eastAsia="仿宋" w:cs="仿宋"/>
                <w:bCs/>
                <w:color w:val="000000" w:themeColor="text1"/>
                <w:spacing w:val="7"/>
                <w:sz w:val="20"/>
                <w:szCs w:val="20"/>
                <w:lang w:eastAsia="zh-CN"/>
                <w14:textFill>
                  <w14:solidFill>
                    <w14:schemeClr w14:val="tx1"/>
                  </w14:solidFill>
                </w14:textFill>
              </w:rPr>
              <w:t>粉</w:t>
            </w:r>
          </w:p>
        </w:tc>
        <w:tc>
          <w:tcPr>
            <w:tcW w:w="1993" w:type="dxa"/>
          </w:tcPr>
          <w:p w14:paraId="623F9DE0">
            <w:pPr>
              <w:pStyle w:val="7"/>
              <w:overflowPunct w:val="0"/>
              <w:spacing w:before="162" w:line="163" w:lineRule="auto"/>
              <w:jc w:val="center"/>
              <w:rPr>
                <w:rFonts w:hint="eastAsia" w:ascii="仿宋" w:hAnsi="仿宋" w:eastAsia="仿宋" w:cs="仿宋"/>
                <w:color w:val="000000" w:themeColor="text1"/>
                <w:sz w:val="20"/>
                <w:szCs w:val="20"/>
                <w:lang w:eastAsia="zh-CN"/>
                <w14:textFill>
                  <w14:solidFill>
                    <w14:schemeClr w14:val="tx1"/>
                  </w14:solidFill>
                </w14:textFill>
              </w:rPr>
            </w:pPr>
            <w:r>
              <w:rPr>
                <w:rFonts w:hint="eastAsia" w:ascii="仿宋" w:hAnsi="仿宋" w:eastAsia="仿宋" w:cs="仿宋"/>
                <w:color w:val="000000" w:themeColor="text1"/>
                <w:sz w:val="20"/>
                <w:szCs w:val="20"/>
                <w:lang w:eastAsia="zh-CN"/>
                <w14:textFill>
                  <w14:solidFill>
                    <w14:schemeClr w14:val="tx1"/>
                  </w14:solidFill>
                </w14:textFill>
              </w:rPr>
              <w:t>SMM1</w:t>
            </w:r>
          </w:p>
        </w:tc>
        <w:tc>
          <w:tcPr>
            <w:tcW w:w="1535" w:type="dxa"/>
          </w:tcPr>
          <w:p w14:paraId="3D98988E">
            <w:pPr>
              <w:pStyle w:val="7"/>
              <w:overflowPunct w:val="0"/>
              <w:spacing w:before="128" w:line="192" w:lineRule="auto"/>
              <w:jc w:val="center"/>
              <w:rPr>
                <w:rFonts w:hint="eastAsia" w:ascii="仿宋" w:hAnsi="仿宋" w:eastAsia="仿宋" w:cs="仿宋"/>
                <w:color w:val="000000" w:themeColor="text1"/>
                <w:sz w:val="20"/>
                <w:szCs w:val="20"/>
                <w:lang w:eastAsia="zh-CN"/>
                <w14:textFill>
                  <w14:solidFill>
                    <w14:schemeClr w14:val="tx1"/>
                  </w14:solidFill>
                </w14:textFill>
              </w:rPr>
            </w:pPr>
            <w:r>
              <w:rPr>
                <w:rFonts w:hint="eastAsia" w:ascii="仿宋" w:hAnsi="仿宋" w:eastAsia="仿宋" w:cs="仿宋"/>
                <w:color w:val="000000" w:themeColor="text1"/>
                <w:sz w:val="20"/>
                <w:szCs w:val="20"/>
                <w:lang w:eastAsia="zh-CN"/>
                <w14:textFill>
                  <w14:solidFill>
                    <w14:schemeClr w14:val="tx1"/>
                  </w14:solidFill>
                </w14:textFill>
              </w:rPr>
              <w:t>公斤</w:t>
            </w:r>
          </w:p>
        </w:tc>
        <w:tc>
          <w:tcPr>
            <w:tcW w:w="1161" w:type="dxa"/>
          </w:tcPr>
          <w:p w14:paraId="222154EE">
            <w:pPr>
              <w:pStyle w:val="7"/>
              <w:overflowPunct w:val="0"/>
              <w:spacing w:before="128" w:line="192" w:lineRule="auto"/>
              <w:jc w:val="center"/>
              <w:rPr>
                <w:rFonts w:hint="eastAsia" w:ascii="仿宋" w:hAnsi="仿宋" w:eastAsia="仿宋" w:cs="仿宋"/>
                <w:color w:val="000000" w:themeColor="text1"/>
                <w:sz w:val="20"/>
                <w:szCs w:val="20"/>
                <w:lang w:eastAsia="zh-CN"/>
                <w14:textFill>
                  <w14:solidFill>
                    <w14:schemeClr w14:val="tx1"/>
                  </w14:solidFill>
                </w14:textFill>
              </w:rPr>
            </w:pPr>
            <w:r>
              <w:rPr>
                <w:rFonts w:hint="eastAsia" w:ascii="仿宋" w:hAnsi="仿宋" w:eastAsia="仿宋" w:cs="仿宋"/>
                <w:color w:val="000000" w:themeColor="text1"/>
                <w:sz w:val="20"/>
                <w:szCs w:val="20"/>
                <w:lang w:eastAsia="zh-CN"/>
                <w14:textFill>
                  <w14:solidFill>
                    <w14:schemeClr w14:val="tx1"/>
                  </w14:solidFill>
                </w14:textFill>
              </w:rPr>
              <w:t>1950</w:t>
            </w:r>
          </w:p>
        </w:tc>
      </w:tr>
      <w:tr w14:paraId="0BBC563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3" w:hRule="atLeast"/>
        </w:trPr>
        <w:tc>
          <w:tcPr>
            <w:tcW w:w="1161" w:type="dxa"/>
          </w:tcPr>
          <w:p w14:paraId="41DB6B04">
            <w:pPr>
              <w:pStyle w:val="7"/>
              <w:overflowPunct w:val="0"/>
              <w:spacing w:before="162" w:line="164" w:lineRule="auto"/>
              <w:ind w:left="533"/>
              <w:rPr>
                <w:rFonts w:hint="eastAsia" w:ascii="仿宋" w:hAnsi="仿宋" w:eastAsia="仿宋" w:cs="仿宋"/>
                <w:color w:val="000000" w:themeColor="text1"/>
                <w:sz w:val="20"/>
                <w:szCs w:val="20"/>
                <w:lang w:eastAsia="zh-CN"/>
                <w14:textFill>
                  <w14:solidFill>
                    <w14:schemeClr w14:val="tx1"/>
                  </w14:solidFill>
                </w14:textFill>
              </w:rPr>
            </w:pPr>
            <w:r>
              <w:rPr>
                <w:rFonts w:hint="eastAsia" w:ascii="仿宋" w:hAnsi="仿宋" w:eastAsia="仿宋" w:cs="仿宋"/>
                <w:color w:val="000000" w:themeColor="text1"/>
                <w:sz w:val="20"/>
                <w:szCs w:val="20"/>
                <w:lang w:eastAsia="zh-CN"/>
                <w14:textFill>
                  <w14:solidFill>
                    <w14:schemeClr w14:val="tx1"/>
                  </w14:solidFill>
                </w14:textFill>
              </w:rPr>
              <w:t>3</w:t>
            </w:r>
          </w:p>
        </w:tc>
        <w:tc>
          <w:tcPr>
            <w:tcW w:w="2674" w:type="dxa"/>
          </w:tcPr>
          <w:p w14:paraId="19A556A4">
            <w:pPr>
              <w:pStyle w:val="7"/>
              <w:overflowPunct w:val="0"/>
              <w:spacing w:before="128" w:line="190" w:lineRule="auto"/>
              <w:ind w:left="920"/>
              <w:rPr>
                <w:rFonts w:hint="eastAsia" w:ascii="仿宋" w:hAnsi="仿宋" w:eastAsia="仿宋" w:cs="仿宋"/>
                <w:bCs/>
                <w:color w:val="000000" w:themeColor="text1"/>
                <w:spacing w:val="7"/>
                <w:sz w:val="20"/>
                <w:szCs w:val="20"/>
                <w14:textFill>
                  <w14:solidFill>
                    <w14:schemeClr w14:val="tx1"/>
                  </w14:solidFill>
                </w14:textFill>
              </w:rPr>
            </w:pPr>
            <w:r>
              <w:rPr>
                <w:rFonts w:hint="eastAsia" w:ascii="仿宋" w:hAnsi="仿宋" w:eastAsia="仿宋" w:cs="仿宋"/>
                <w:bCs/>
                <w:color w:val="000000" w:themeColor="text1"/>
                <w:spacing w:val="7"/>
                <w:sz w:val="20"/>
                <w:szCs w:val="20"/>
                <w14:textFill>
                  <w14:solidFill>
                    <w14:schemeClr w14:val="tx1"/>
                  </w14:solidFill>
                </w14:textFill>
              </w:rPr>
              <w:t>波形护栏</w:t>
            </w:r>
          </w:p>
        </w:tc>
        <w:tc>
          <w:tcPr>
            <w:tcW w:w="1993" w:type="dxa"/>
          </w:tcPr>
          <w:p w14:paraId="76F9916A">
            <w:pPr>
              <w:pStyle w:val="7"/>
              <w:overflowPunct w:val="0"/>
              <w:spacing w:before="162" w:line="163" w:lineRule="auto"/>
              <w:jc w:val="center"/>
              <w:rPr>
                <w:rFonts w:hint="eastAsia" w:ascii="仿宋" w:hAnsi="仿宋" w:eastAsia="仿宋" w:cs="仿宋"/>
                <w:color w:val="000000" w:themeColor="text1"/>
                <w:sz w:val="20"/>
                <w:szCs w:val="20"/>
                <w:lang w:eastAsia="zh-CN"/>
                <w14:textFill>
                  <w14:solidFill>
                    <w14:schemeClr w14:val="tx1"/>
                  </w14:solidFill>
                </w14:textFill>
              </w:rPr>
            </w:pPr>
            <w:r>
              <w:rPr>
                <w:rFonts w:hint="eastAsia" w:ascii="仿宋" w:hAnsi="仿宋" w:eastAsia="仿宋" w:cs="仿宋"/>
                <w:color w:val="000000" w:themeColor="text1"/>
                <w:sz w:val="20"/>
                <w:szCs w:val="20"/>
                <w:lang w:eastAsia="zh-CN"/>
                <w14:textFill>
                  <w14:solidFill>
                    <w14:schemeClr w14:val="tx1"/>
                  </w14:solidFill>
                </w14:textFill>
              </w:rPr>
              <w:t>双波+三波</w:t>
            </w:r>
          </w:p>
        </w:tc>
        <w:tc>
          <w:tcPr>
            <w:tcW w:w="1535" w:type="dxa"/>
          </w:tcPr>
          <w:p w14:paraId="5F4C866B">
            <w:pPr>
              <w:pStyle w:val="7"/>
              <w:overflowPunct w:val="0"/>
              <w:spacing w:before="128" w:line="192" w:lineRule="auto"/>
              <w:jc w:val="center"/>
              <w:rPr>
                <w:rFonts w:hint="eastAsia" w:ascii="仿宋" w:hAnsi="仿宋" w:eastAsia="仿宋" w:cs="仿宋"/>
                <w:color w:val="000000" w:themeColor="text1"/>
                <w:sz w:val="20"/>
                <w:szCs w:val="20"/>
                <w:lang w:eastAsia="zh-CN"/>
                <w14:textFill>
                  <w14:solidFill>
                    <w14:schemeClr w14:val="tx1"/>
                  </w14:solidFill>
                </w14:textFill>
              </w:rPr>
            </w:pPr>
            <w:r>
              <w:rPr>
                <w:rFonts w:hint="eastAsia" w:ascii="仿宋" w:hAnsi="仿宋" w:eastAsia="仿宋" w:cs="仿宋"/>
                <w:color w:val="000000" w:themeColor="text1"/>
                <w:sz w:val="20"/>
                <w:szCs w:val="20"/>
                <w:lang w:eastAsia="zh-CN"/>
                <w14:textFill>
                  <w14:solidFill>
                    <w14:schemeClr w14:val="tx1"/>
                  </w14:solidFill>
                </w14:textFill>
              </w:rPr>
              <w:t>吨</w:t>
            </w:r>
          </w:p>
        </w:tc>
        <w:tc>
          <w:tcPr>
            <w:tcW w:w="1161" w:type="dxa"/>
          </w:tcPr>
          <w:p w14:paraId="15CD9AE7">
            <w:pPr>
              <w:pStyle w:val="7"/>
              <w:overflowPunct w:val="0"/>
              <w:spacing w:before="128" w:line="192" w:lineRule="auto"/>
              <w:jc w:val="center"/>
              <w:rPr>
                <w:rFonts w:hint="eastAsia" w:ascii="仿宋" w:hAnsi="仿宋" w:eastAsia="仿宋" w:cs="仿宋"/>
                <w:color w:val="000000" w:themeColor="text1"/>
                <w:sz w:val="20"/>
                <w:szCs w:val="20"/>
                <w:lang w:eastAsia="zh-CN"/>
                <w14:textFill>
                  <w14:solidFill>
                    <w14:schemeClr w14:val="tx1"/>
                  </w14:solidFill>
                </w14:textFill>
              </w:rPr>
            </w:pPr>
            <w:r>
              <w:rPr>
                <w:rFonts w:hint="eastAsia" w:ascii="仿宋" w:hAnsi="仿宋" w:eastAsia="仿宋" w:cs="仿宋"/>
                <w:color w:val="000000" w:themeColor="text1"/>
                <w:sz w:val="20"/>
                <w:szCs w:val="20"/>
                <w:lang w:eastAsia="zh-CN"/>
                <w14:textFill>
                  <w14:solidFill>
                    <w14:schemeClr w14:val="tx1"/>
                  </w14:solidFill>
                </w14:textFill>
              </w:rPr>
              <w:t>121.38</w:t>
            </w:r>
          </w:p>
        </w:tc>
      </w:tr>
      <w:tr w14:paraId="630F7DC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3" w:hRule="atLeast"/>
        </w:trPr>
        <w:tc>
          <w:tcPr>
            <w:tcW w:w="1161" w:type="dxa"/>
          </w:tcPr>
          <w:p w14:paraId="5343CAE7">
            <w:pPr>
              <w:pStyle w:val="7"/>
              <w:overflowPunct w:val="0"/>
              <w:spacing w:before="162" w:line="164" w:lineRule="auto"/>
              <w:ind w:left="533"/>
              <w:rPr>
                <w:rFonts w:hint="eastAsia" w:ascii="仿宋" w:hAnsi="仿宋" w:eastAsia="仿宋" w:cs="仿宋"/>
                <w:color w:val="000000" w:themeColor="text1"/>
                <w:sz w:val="20"/>
                <w:szCs w:val="20"/>
                <w:lang w:eastAsia="zh-CN"/>
                <w14:textFill>
                  <w14:solidFill>
                    <w14:schemeClr w14:val="tx1"/>
                  </w14:solidFill>
                </w14:textFill>
              </w:rPr>
            </w:pPr>
            <w:r>
              <w:rPr>
                <w:rFonts w:hint="eastAsia" w:ascii="仿宋" w:hAnsi="仿宋" w:eastAsia="仿宋" w:cs="仿宋"/>
                <w:color w:val="000000" w:themeColor="text1"/>
                <w:sz w:val="20"/>
                <w:szCs w:val="20"/>
                <w:lang w:eastAsia="zh-CN"/>
                <w14:textFill>
                  <w14:solidFill>
                    <w14:schemeClr w14:val="tx1"/>
                  </w14:solidFill>
                </w14:textFill>
              </w:rPr>
              <w:t>4</w:t>
            </w:r>
          </w:p>
        </w:tc>
        <w:tc>
          <w:tcPr>
            <w:tcW w:w="2674" w:type="dxa"/>
          </w:tcPr>
          <w:p w14:paraId="6ACBDABB">
            <w:pPr>
              <w:pStyle w:val="7"/>
              <w:tabs>
                <w:tab w:val="left" w:pos="459"/>
              </w:tabs>
              <w:overflowPunct w:val="0"/>
              <w:spacing w:before="128" w:line="190" w:lineRule="auto"/>
              <w:jc w:val="center"/>
              <w:rPr>
                <w:rFonts w:hint="eastAsia" w:ascii="仿宋" w:hAnsi="仿宋" w:eastAsia="仿宋" w:cs="仿宋"/>
                <w:bCs/>
                <w:color w:val="000000" w:themeColor="text1"/>
                <w:spacing w:val="7"/>
                <w:sz w:val="20"/>
                <w:szCs w:val="20"/>
                <w:lang w:eastAsia="zh-CN"/>
                <w14:textFill>
                  <w14:solidFill>
                    <w14:schemeClr w14:val="tx1"/>
                  </w14:solidFill>
                </w14:textFill>
              </w:rPr>
            </w:pPr>
            <w:r>
              <w:rPr>
                <w:rFonts w:hint="eastAsia" w:ascii="仿宋" w:hAnsi="仿宋" w:eastAsia="仿宋" w:cs="仿宋"/>
                <w:bCs/>
                <w:color w:val="000000" w:themeColor="text1"/>
                <w:spacing w:val="7"/>
                <w:sz w:val="20"/>
                <w:szCs w:val="20"/>
                <w:lang w:eastAsia="zh-CN"/>
                <w14:textFill>
                  <w14:solidFill>
                    <w14:schemeClr w14:val="tx1"/>
                  </w14:solidFill>
                </w14:textFill>
              </w:rPr>
              <w:t>氟碳烯锌基复合涂层生产线</w:t>
            </w:r>
          </w:p>
        </w:tc>
        <w:tc>
          <w:tcPr>
            <w:tcW w:w="1993" w:type="dxa"/>
          </w:tcPr>
          <w:p w14:paraId="29931778">
            <w:pPr>
              <w:pStyle w:val="7"/>
              <w:overflowPunct w:val="0"/>
              <w:spacing w:before="162" w:line="163" w:lineRule="auto"/>
              <w:jc w:val="center"/>
              <w:rPr>
                <w:rFonts w:hint="eastAsia" w:ascii="仿宋" w:hAnsi="仿宋" w:eastAsia="仿宋" w:cs="仿宋"/>
                <w:color w:val="000000" w:themeColor="text1"/>
                <w:spacing w:val="-5"/>
                <w:sz w:val="20"/>
                <w:szCs w:val="20"/>
                <w:lang w:eastAsia="zh-CN"/>
                <w14:textFill>
                  <w14:solidFill>
                    <w14:schemeClr w14:val="tx1"/>
                  </w14:solidFill>
                </w14:textFill>
              </w:rPr>
            </w:pPr>
            <w:r>
              <w:rPr>
                <w:rFonts w:hint="eastAsia" w:ascii="仿宋" w:hAnsi="仿宋" w:eastAsia="仿宋" w:cs="仿宋"/>
                <w:color w:val="000000" w:themeColor="text1"/>
                <w:spacing w:val="-5"/>
                <w:sz w:val="20"/>
                <w:szCs w:val="20"/>
                <w:lang w:eastAsia="zh-CN"/>
                <w14:textFill>
                  <w14:solidFill>
                    <w14:schemeClr w14:val="tx1"/>
                  </w14:solidFill>
                </w14:textFill>
              </w:rPr>
              <w:t>世通—200</w:t>
            </w:r>
          </w:p>
        </w:tc>
        <w:tc>
          <w:tcPr>
            <w:tcW w:w="1535" w:type="dxa"/>
          </w:tcPr>
          <w:p w14:paraId="0AF820DA">
            <w:pPr>
              <w:pStyle w:val="7"/>
              <w:overflowPunct w:val="0"/>
              <w:spacing w:before="128" w:line="192" w:lineRule="auto"/>
              <w:jc w:val="center"/>
              <w:rPr>
                <w:rFonts w:hint="eastAsia" w:ascii="仿宋" w:hAnsi="仿宋" w:eastAsia="仿宋" w:cs="仿宋"/>
                <w:color w:val="000000" w:themeColor="text1"/>
                <w:sz w:val="20"/>
                <w:szCs w:val="20"/>
                <w:lang w:eastAsia="zh-CN"/>
                <w14:textFill>
                  <w14:solidFill>
                    <w14:schemeClr w14:val="tx1"/>
                  </w14:solidFill>
                </w14:textFill>
              </w:rPr>
            </w:pPr>
            <w:r>
              <w:rPr>
                <w:rFonts w:hint="eastAsia" w:ascii="仿宋" w:hAnsi="仿宋" w:eastAsia="仿宋" w:cs="仿宋"/>
                <w:color w:val="000000" w:themeColor="text1"/>
                <w:sz w:val="20"/>
                <w:szCs w:val="20"/>
                <w:lang w:eastAsia="zh-CN"/>
                <w14:textFill>
                  <w14:solidFill>
                    <w14:schemeClr w14:val="tx1"/>
                  </w14:solidFill>
                </w14:textFill>
              </w:rPr>
              <w:t>套</w:t>
            </w:r>
          </w:p>
        </w:tc>
        <w:tc>
          <w:tcPr>
            <w:tcW w:w="1161" w:type="dxa"/>
          </w:tcPr>
          <w:p w14:paraId="6C10FEE5">
            <w:pPr>
              <w:pStyle w:val="7"/>
              <w:overflowPunct w:val="0"/>
              <w:spacing w:before="128" w:line="192" w:lineRule="auto"/>
              <w:jc w:val="center"/>
              <w:rPr>
                <w:rFonts w:hint="eastAsia" w:ascii="仿宋" w:hAnsi="仿宋" w:eastAsia="仿宋" w:cs="仿宋"/>
                <w:color w:val="000000" w:themeColor="text1"/>
                <w:sz w:val="20"/>
                <w:szCs w:val="20"/>
                <w:lang w:eastAsia="zh-CN"/>
                <w14:textFill>
                  <w14:solidFill>
                    <w14:schemeClr w14:val="tx1"/>
                  </w14:solidFill>
                </w14:textFill>
              </w:rPr>
            </w:pPr>
            <w:r>
              <w:rPr>
                <w:rFonts w:hint="eastAsia" w:ascii="仿宋" w:hAnsi="仿宋" w:eastAsia="仿宋" w:cs="仿宋"/>
                <w:color w:val="000000" w:themeColor="text1"/>
                <w:sz w:val="20"/>
                <w:szCs w:val="20"/>
                <w:lang w:eastAsia="zh-CN"/>
                <w14:textFill>
                  <w14:solidFill>
                    <w14:schemeClr w14:val="tx1"/>
                  </w14:solidFill>
                </w14:textFill>
              </w:rPr>
              <w:t>1</w:t>
            </w:r>
          </w:p>
        </w:tc>
      </w:tr>
    </w:tbl>
    <w:p w14:paraId="6458BBAA">
      <w:pPr>
        <w:pStyle w:val="2"/>
        <w:overflowPunct w:val="0"/>
        <w:spacing w:before="151" w:line="187" w:lineRule="auto"/>
        <w:ind w:left="40"/>
        <w:outlineLvl w:val="0"/>
        <w:rPr>
          <w:rFonts w:hint="eastAsia" w:ascii="仿宋" w:hAnsi="仿宋" w:eastAsia="仿宋" w:cs="仿宋"/>
          <w:color w:val="000000" w:themeColor="text1"/>
          <w:spacing w:val="-16"/>
          <w:lang w:eastAsia="zh-CN"/>
          <w14:textFill>
            <w14:solidFill>
              <w14:schemeClr w14:val="tx1"/>
            </w14:solidFill>
          </w14:textFill>
        </w:rPr>
      </w:pPr>
      <w:r>
        <w:rPr>
          <w:rFonts w:hint="eastAsia" w:ascii="仿宋" w:hAnsi="仿宋" w:eastAsia="仿宋" w:cs="仿宋"/>
          <w:color w:val="000000" w:themeColor="text1"/>
          <w:spacing w:val="-16"/>
          <w:lang w:eastAsia="zh-CN"/>
          <w14:textFill>
            <w14:solidFill>
              <w14:schemeClr w14:val="tx1"/>
            </w14:solidFill>
          </w14:textFill>
        </w:rPr>
        <w:t>7  质量控制</w:t>
      </w:r>
    </w:p>
    <w:p w14:paraId="3B246570">
      <w:pPr>
        <w:pStyle w:val="2"/>
        <w:overflowPunct w:val="0"/>
        <w:spacing w:before="150" w:line="271" w:lineRule="auto"/>
        <w:ind w:left="23" w:right="45" w:firstLine="476"/>
        <w:jc w:val="both"/>
        <w:outlineLvl w:val="1"/>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7.1 实行三级技术交底制度，对施工中的各个技术要点、施工程序操作要点和质量标准在施工前进行详细的交底，在技术交底中明确质量标准、质量目标、质量要求。交底内容由总工程师和各部门专业工程师负责传达贯彻，确保开工前所有人都心中有数。</w:t>
      </w:r>
    </w:p>
    <w:p w14:paraId="7E545D1D">
      <w:pPr>
        <w:pStyle w:val="2"/>
        <w:overflowPunct w:val="0"/>
        <w:spacing w:before="150" w:line="271" w:lineRule="auto"/>
        <w:ind w:left="23" w:right="45" w:firstLine="476"/>
        <w:jc w:val="both"/>
        <w:outlineLvl w:val="1"/>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7.2 实行工序控制，对每道工序提出质量标准，控制方法和检查验收的内 容，使每个施工人员和质检人员，明确质量目标，以保证工程质量在施工过程中处于受控状态。</w:t>
      </w:r>
    </w:p>
    <w:p w14:paraId="0585232A">
      <w:pPr>
        <w:pStyle w:val="2"/>
        <w:overflowPunct w:val="0"/>
        <w:spacing w:before="150" w:line="271" w:lineRule="auto"/>
        <w:ind w:left="23" w:right="45" w:firstLine="476"/>
        <w:jc w:val="both"/>
        <w:outlineLvl w:val="1"/>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7.3 三检制度：建立并认真执行自检、互检和专检的质量检查制度，填写施工检查记录，发现问题及时处理。</w:t>
      </w:r>
    </w:p>
    <w:p w14:paraId="5FA2BF06">
      <w:pPr>
        <w:pStyle w:val="2"/>
        <w:overflowPunct w:val="0"/>
        <w:spacing w:before="150" w:line="271" w:lineRule="auto"/>
        <w:ind w:left="23" w:right="45" w:firstLine="476"/>
        <w:jc w:val="both"/>
        <w:outlineLvl w:val="1"/>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7.4 质量否决制度：质量不合格一票否决。</w:t>
      </w:r>
    </w:p>
    <w:p w14:paraId="01872EF0">
      <w:pPr>
        <w:pStyle w:val="2"/>
        <w:overflowPunct w:val="0"/>
        <w:spacing w:before="150" w:line="271" w:lineRule="auto"/>
        <w:ind w:left="23" w:right="45" w:firstLine="476"/>
        <w:jc w:val="both"/>
        <w:outlineLvl w:val="1"/>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7.5 在生产过程中，要做好设备、工艺装备的维护保养工作，定期检测，保持设备的精度，生产合格产品。</w:t>
      </w:r>
    </w:p>
    <w:p w14:paraId="3A2053ED">
      <w:pPr>
        <w:pStyle w:val="2"/>
        <w:overflowPunct w:val="0"/>
        <w:spacing w:before="151" w:line="187" w:lineRule="auto"/>
        <w:ind w:left="40"/>
        <w:outlineLvl w:val="0"/>
        <w:rPr>
          <w:rFonts w:hint="eastAsia" w:ascii="仿宋" w:hAnsi="仿宋" w:eastAsia="仿宋" w:cs="仿宋"/>
          <w:color w:val="000000" w:themeColor="text1"/>
          <w:spacing w:val="-16"/>
          <w:lang w:eastAsia="zh-CN"/>
          <w14:textFill>
            <w14:solidFill>
              <w14:schemeClr w14:val="tx1"/>
            </w14:solidFill>
          </w14:textFill>
        </w:rPr>
      </w:pPr>
      <w:r>
        <w:rPr>
          <w:rFonts w:hint="eastAsia" w:ascii="仿宋" w:hAnsi="仿宋" w:eastAsia="仿宋" w:cs="仿宋"/>
          <w:color w:val="000000" w:themeColor="text1"/>
          <w:spacing w:val="-16"/>
          <w:lang w:eastAsia="zh-CN"/>
          <w14:textFill>
            <w14:solidFill>
              <w14:schemeClr w14:val="tx1"/>
            </w14:solidFill>
          </w14:textFill>
        </w:rPr>
        <w:t>8  安全措施</w:t>
      </w:r>
    </w:p>
    <w:p w14:paraId="0540816C">
      <w:pPr>
        <w:pStyle w:val="2"/>
        <w:overflowPunct w:val="0"/>
        <w:spacing w:before="150" w:line="271" w:lineRule="auto"/>
        <w:ind w:left="23" w:right="45" w:firstLine="476"/>
        <w:jc w:val="both"/>
        <w:outlineLvl w:val="1"/>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8.1 开展安全生产教育活动，使参于护栏生产的所有人员真正认识到安全的重要性、必要性，牢固树立，“安全第一，预防为主”的思想，自觉遵守各项安全生产法令和规章制度。</w:t>
      </w:r>
    </w:p>
    <w:p w14:paraId="16B1AE68">
      <w:pPr>
        <w:pStyle w:val="2"/>
        <w:overflowPunct w:val="0"/>
        <w:spacing w:before="150" w:line="271" w:lineRule="auto"/>
        <w:ind w:left="23" w:right="45" w:firstLine="476"/>
        <w:jc w:val="both"/>
        <w:outlineLvl w:val="1"/>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8.2 建立和完善各项安全管理体系和安全管理办法，落实安全管理责任制。</w:t>
      </w:r>
    </w:p>
    <w:p w14:paraId="397C78AA">
      <w:pPr>
        <w:pStyle w:val="2"/>
        <w:overflowPunct w:val="0"/>
        <w:spacing w:before="150" w:line="271" w:lineRule="auto"/>
        <w:ind w:left="23" w:right="45" w:firstLine="476"/>
        <w:jc w:val="both"/>
        <w:outlineLvl w:val="1"/>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8.3 护栏产品每道工序开工前，要对参加施工的所有人员进行上岗前的安全教育，并做好记录。对从事电器、起重、焊接、机动车驾驶等特殊工种的人员，要经过专业培训，在获取《安全操作合格证》之后，方准持证上岗。除进行一般安全教育外，还进行本工种专业安全技术培训。</w:t>
      </w:r>
    </w:p>
    <w:p w14:paraId="772DE407">
      <w:pPr>
        <w:pStyle w:val="2"/>
        <w:overflowPunct w:val="0"/>
        <w:spacing w:before="150" w:line="271" w:lineRule="auto"/>
        <w:ind w:left="23" w:right="45" w:firstLine="476"/>
        <w:jc w:val="both"/>
        <w:outlineLvl w:val="1"/>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8.4 涂装作业安全按要求配备安全防护用品。</w:t>
      </w:r>
    </w:p>
    <w:p w14:paraId="3691CB51">
      <w:pPr>
        <w:pStyle w:val="2"/>
        <w:overflowPunct w:val="0"/>
        <w:spacing w:before="150" w:line="271" w:lineRule="auto"/>
        <w:ind w:left="23" w:right="45" w:firstLine="476"/>
        <w:jc w:val="both"/>
        <w:outlineLvl w:val="1"/>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8.5 所有施工机械、机具必须有建立使用、检查、维修、保养制度、保证施工机械机具符合安全要求。</w:t>
      </w:r>
    </w:p>
    <w:p w14:paraId="1231B620">
      <w:pPr>
        <w:rPr>
          <w:lang w:eastAsia="zh-CN"/>
        </w:rPr>
      </w:pPr>
    </w:p>
    <w:p w14:paraId="182498FC">
      <w:pPr>
        <w:pStyle w:val="2"/>
        <w:overflowPunct w:val="0"/>
        <w:spacing w:before="151" w:line="187" w:lineRule="auto"/>
        <w:ind w:left="40"/>
        <w:outlineLvl w:val="0"/>
        <w:rPr>
          <w:rFonts w:hint="eastAsia" w:ascii="仿宋" w:hAnsi="仿宋" w:eastAsia="仿宋" w:cs="仿宋"/>
          <w:color w:val="000000" w:themeColor="text1"/>
          <w:spacing w:val="-16"/>
          <w:lang w:eastAsia="zh-CN"/>
          <w14:textFill>
            <w14:solidFill>
              <w14:schemeClr w14:val="tx1"/>
            </w14:solidFill>
          </w14:textFill>
        </w:rPr>
      </w:pPr>
      <w:r>
        <w:rPr>
          <w:rFonts w:hint="eastAsia" w:ascii="仿宋" w:hAnsi="仿宋" w:eastAsia="仿宋" w:cs="仿宋"/>
          <w:color w:val="000000" w:themeColor="text1"/>
          <w:spacing w:val="-16"/>
          <w:lang w:eastAsia="zh-CN"/>
          <w14:textFill>
            <w14:solidFill>
              <w14:schemeClr w14:val="tx1"/>
            </w14:solidFill>
          </w14:textFill>
        </w:rPr>
        <w:t>9  环保措施</w:t>
      </w:r>
    </w:p>
    <w:p w14:paraId="4F0DA73B">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9.1 建立环境保护体系，编制环境保护制度，专人负责现场环保工作。</w:t>
      </w:r>
    </w:p>
    <w:p w14:paraId="59D5584D">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9.2 在施工区域内禁止抽烟，生活垃圾禁止乱扔。</w:t>
      </w:r>
    </w:p>
    <w:p w14:paraId="68A961F4">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9.3 施工时，注意不要污染地面。</w:t>
      </w:r>
    </w:p>
    <w:p w14:paraId="451FC1A1">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9.4 施工材料不要随意丢弃，放置指定场地。</w:t>
      </w:r>
    </w:p>
    <w:p w14:paraId="6E541E38">
      <w:pPr>
        <w:pStyle w:val="2"/>
        <w:overflowPunct w:val="0"/>
        <w:spacing w:before="151" w:line="187" w:lineRule="auto"/>
        <w:ind w:left="40"/>
        <w:outlineLvl w:val="0"/>
        <w:rPr>
          <w:rFonts w:hint="eastAsia" w:ascii="仿宋" w:hAnsi="仿宋" w:eastAsia="仿宋" w:cs="仿宋"/>
          <w:color w:val="000000" w:themeColor="text1"/>
          <w:spacing w:val="-16"/>
          <w:lang w:eastAsia="zh-CN"/>
          <w14:textFill>
            <w14:solidFill>
              <w14:schemeClr w14:val="tx1"/>
            </w14:solidFill>
          </w14:textFill>
        </w:rPr>
      </w:pPr>
      <w:r>
        <w:rPr>
          <w:rFonts w:hint="eastAsia" w:ascii="仿宋" w:hAnsi="仿宋" w:eastAsia="仿宋" w:cs="仿宋"/>
          <w:color w:val="000000" w:themeColor="text1"/>
          <w:spacing w:val="-16"/>
          <w:lang w:eastAsia="zh-CN"/>
          <w14:textFill>
            <w14:solidFill>
              <w14:schemeClr w14:val="tx1"/>
            </w14:solidFill>
          </w14:textFill>
        </w:rPr>
        <w:t>10  效益分析</w:t>
      </w:r>
    </w:p>
    <w:p w14:paraId="2C18374B">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10.1 经济效益</w:t>
      </w:r>
    </w:p>
    <w:p w14:paraId="380DEFEB">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渝湘复线黎香湖立交匝道双波及三波护栏约5.6延公里，波形护栏黑件+粉体材料+加工费+运输费，含税价运到现场5959元吨。经询价镀锌护栏含税到场价为6000元吨，氟碳烯锌基复合护栏比镀锌护栏略低或者持平。考虑到本次工程实践是小规模生产，若大量使用氟碳烯锌基复合护栏价格会低于镀锌护栏。</w:t>
      </w:r>
    </w:p>
    <w:p w14:paraId="09B9E2A4">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10.2 社会效益</w:t>
      </w:r>
    </w:p>
    <w:p w14:paraId="3B386001">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氟碳烯锌基复合护栏属于第四代产品。第一代热镀锌护栏，第二代热镀锌+聚酯喷涂护栏，第三代热镀锌+聚乙烯浸塑护栏，第四代氟碳烯锌基复合涂层护栏。前三代产品的共同特点：热镀锌有酸洗、高温加热，属于高污染高能耗，环保压力大；传统的作业方式，劳动强度大、劳动环境差、生产效率低；有氢脆风险，镀锌时进入钢材内部的微量氢在内部残余的或外加的应力作用下导致材料脆化甚至开裂。</w:t>
      </w:r>
    </w:p>
    <w:p w14:paraId="7CC7E991">
      <w:pPr>
        <w:pStyle w:val="2"/>
        <w:overflowPunct w:val="0"/>
        <w:spacing w:before="150" w:line="271" w:lineRule="auto"/>
        <w:ind w:left="23" w:right="45" w:firstLine="476"/>
        <w:jc w:val="both"/>
        <w:outlineLvl w:val="1"/>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10.3 节能效益</w:t>
      </w:r>
    </w:p>
    <w:p w14:paraId="1C584C66">
      <w:pPr>
        <w:pStyle w:val="2"/>
        <w:spacing w:before="150" w:line="271" w:lineRule="auto"/>
        <w:ind w:right="45" w:firstLine="480" w:firstLineChars="200"/>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10.3.1 氟碳烯锌基复合涂层属于粉体材料，无溶剂，避免了环境污染。</w:t>
      </w:r>
    </w:p>
    <w:p w14:paraId="0277AE1D">
      <w:pPr>
        <w:pStyle w:val="2"/>
        <w:spacing w:before="150" w:line="271" w:lineRule="auto"/>
        <w:ind w:right="45" w:firstLine="480" w:firstLineChars="200"/>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10.3.2 氟碳烯锌基复合护栏盐雾试验检测超过2000小时，使用寿命延长。</w:t>
      </w:r>
    </w:p>
    <w:p w14:paraId="445F45D5">
      <w:pPr>
        <w:pStyle w:val="2"/>
        <w:spacing w:before="150" w:line="271" w:lineRule="auto"/>
        <w:ind w:right="45" w:firstLine="480" w:firstLineChars="200"/>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10.3.3 氟碳烯锌基复合护栏由于采用氟碳面粉，易于养护。</w:t>
      </w:r>
    </w:p>
    <w:p w14:paraId="1606D82C">
      <w:pPr>
        <w:pStyle w:val="2"/>
        <w:overflowPunct w:val="0"/>
        <w:spacing w:before="151" w:line="187" w:lineRule="auto"/>
        <w:ind w:left="40"/>
        <w:outlineLvl w:val="0"/>
        <w:rPr>
          <w:rFonts w:hint="eastAsia" w:ascii="仿宋" w:hAnsi="仿宋" w:eastAsia="仿宋" w:cs="仿宋"/>
          <w:color w:val="000000" w:themeColor="text1"/>
          <w:spacing w:val="-16"/>
          <w:lang w:eastAsia="zh-CN"/>
          <w14:textFill>
            <w14:solidFill>
              <w14:schemeClr w14:val="tx1"/>
            </w14:solidFill>
          </w14:textFill>
        </w:rPr>
      </w:pPr>
      <w:r>
        <w:rPr>
          <w:rFonts w:hint="eastAsia" w:ascii="仿宋" w:hAnsi="仿宋" w:eastAsia="仿宋" w:cs="仿宋"/>
          <w:color w:val="000000" w:themeColor="text1"/>
          <w:spacing w:val="-16"/>
          <w:lang w:eastAsia="zh-CN"/>
          <w14:textFill>
            <w14:solidFill>
              <w14:schemeClr w14:val="tx1"/>
            </w14:solidFill>
          </w14:textFill>
        </w:rPr>
        <w:t>11  应用实例</w:t>
      </w:r>
    </w:p>
    <w:p w14:paraId="1F9FC7A9">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项目于2024年6月-2024年7月，通过在渝湘复线黎香湖立交加匝道施工，与环氧锌基聚酯护栏相比，颜色更加靓丽，预计使用寿命8年以上，养护费用大幅降低。为高速公路护栏全周期全寿命建设提供参考意义。</w:t>
      </w:r>
    </w:p>
    <w:sectPr>
      <w:footerReference r:id="rId3" w:type="default"/>
      <w:pgSz w:w="11907" w:h="16839"/>
      <w:pgMar w:top="400" w:right="1714" w:bottom="400" w:left="1785" w:header="0" w:footer="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F7A90D">
    <w:pPr>
      <w:spacing w:line="14" w:lineRule="auto"/>
      <w:rPr>
        <w:sz w:val="2"/>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1"/>
  <w:bordersDoNotSurroundHeader w:val="1"/>
  <w:bordersDoNotSurroundFooter w:val="1"/>
  <w:documentProtection w:enforcement="0"/>
  <w:defaultTabStop w:val="420"/>
  <w:characterSpacingControl w:val="doNotCompress"/>
  <w:compat>
    <w:spaceForUL/>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A3YTM5NzkyOTMwNTY4NjUyNDBiZDEwZWE1Mzg2NDIifQ=="/>
  </w:docVars>
  <w:rsids>
    <w:rsidRoot w:val="00520732"/>
    <w:rsid w:val="00114A8D"/>
    <w:rsid w:val="00143D96"/>
    <w:rsid w:val="001F79FD"/>
    <w:rsid w:val="003844AA"/>
    <w:rsid w:val="00400DE7"/>
    <w:rsid w:val="004C7775"/>
    <w:rsid w:val="00520732"/>
    <w:rsid w:val="00932C8E"/>
    <w:rsid w:val="00A04716"/>
    <w:rsid w:val="00BF1D9F"/>
    <w:rsid w:val="00C25A82"/>
    <w:rsid w:val="00DB32BB"/>
    <w:rsid w:val="00EB4C6F"/>
    <w:rsid w:val="00F567A5"/>
    <w:rsid w:val="00F84814"/>
    <w:rsid w:val="0A965284"/>
    <w:rsid w:val="4F6027D7"/>
    <w:rsid w:val="51224396"/>
    <w:rsid w:val="5E261CD7"/>
    <w:rsid w:val="61E31E62"/>
    <w:rsid w:val="753B03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Theme="minorEastAsia"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en-US"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link w:val="8"/>
    <w:semiHidden/>
    <w:qFormat/>
    <w:uiPriority w:val="0"/>
    <w:rPr>
      <w:rFonts w:ascii="微软雅黑" w:hAnsi="微软雅黑" w:eastAsia="微软雅黑" w:cs="微软雅黑"/>
      <w:sz w:val="24"/>
      <w:szCs w:val="24"/>
    </w:rPr>
  </w:style>
  <w:style w:type="paragraph" w:styleId="3">
    <w:name w:val="Date"/>
    <w:basedOn w:val="1"/>
    <w:next w:val="1"/>
    <w:link w:val="9"/>
    <w:qFormat/>
    <w:uiPriority w:val="0"/>
    <w:pPr>
      <w:ind w:left="100" w:leftChars="2500"/>
    </w:pPr>
  </w:style>
  <w:style w:type="table" w:customStyle="1" w:styleId="6">
    <w:name w:val="Table Normal"/>
    <w:semiHidden/>
    <w:unhideWhenUsed/>
    <w:qFormat/>
    <w:uiPriority w:val="0"/>
    <w:tblPr>
      <w:tblCellMar>
        <w:top w:w="0" w:type="dxa"/>
        <w:left w:w="0" w:type="dxa"/>
        <w:bottom w:w="0" w:type="dxa"/>
        <w:right w:w="0" w:type="dxa"/>
      </w:tblCellMar>
    </w:tblPr>
  </w:style>
  <w:style w:type="paragraph" w:customStyle="1" w:styleId="7">
    <w:name w:val="Table Text"/>
    <w:basedOn w:val="1"/>
    <w:semiHidden/>
    <w:qFormat/>
    <w:uiPriority w:val="0"/>
    <w:rPr>
      <w:rFonts w:ascii="微软雅黑" w:hAnsi="微软雅黑" w:eastAsia="微软雅黑" w:cs="微软雅黑"/>
    </w:rPr>
  </w:style>
  <w:style w:type="character" w:customStyle="1" w:styleId="8">
    <w:name w:val="正文文本 字符"/>
    <w:basedOn w:val="5"/>
    <w:link w:val="2"/>
    <w:semiHidden/>
    <w:qFormat/>
    <w:uiPriority w:val="0"/>
    <w:rPr>
      <w:rFonts w:ascii="微软雅黑" w:hAnsi="微软雅黑" w:eastAsia="微软雅黑" w:cs="微软雅黑"/>
      <w:snapToGrid w:val="0"/>
      <w:color w:val="000000"/>
      <w:sz w:val="24"/>
      <w:szCs w:val="24"/>
      <w:lang w:eastAsia="en-US"/>
    </w:rPr>
  </w:style>
  <w:style w:type="character" w:customStyle="1" w:styleId="9">
    <w:name w:val="日期 字符"/>
    <w:basedOn w:val="5"/>
    <w:link w:val="3"/>
    <w:qFormat/>
    <w:uiPriority w:val="0"/>
    <w:rPr>
      <w:rFonts w:eastAsia="Arial"/>
      <w:snapToGrid w:val="0"/>
      <w:color w:val="000000"/>
      <w:sz w:val="21"/>
      <w:szCs w:val="21"/>
      <w:lang w:eastAsia="en-U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3224</Words>
  <Characters>3507</Characters>
  <Lines>26</Lines>
  <Paragraphs>7</Paragraphs>
  <TotalTime>0</TotalTime>
  <ScaleCrop>false</ScaleCrop>
  <LinksUpToDate>false</LinksUpToDate>
  <CharactersWithSpaces>3581</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2024-07-19T00:46:00Z</dcterms:created>
  <dc:creator>Administrator</dc:creator>
  <cp:lastModifiedBy>万象</cp:lastModifiedBy>
  <dcterms:modified xsi:type="dcterms:W3CDTF">2025-09-08T03:55:28Z</dcterms:modified>
  <dc:title>3.åÕ⁄,--)(Žè
ž°ñ‰‡µû«½ååÕ8.3.doc</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2024-04-12T09:16:54Z</vt:filetime>
  </property>
  <property fmtid="{D5CDD505-2E9C-101B-9397-08002B2CF9AE}" pid="4" name="KSOProductBuildVer">
    <vt:lpwstr>2052-12.1.0.22529</vt:lpwstr>
  </property>
  <property fmtid="{D5CDD505-2E9C-101B-9397-08002B2CF9AE}" pid="5" name="ICV">
    <vt:lpwstr>9598F13799CE4FE49B014D14E999C2D6_13</vt:lpwstr>
  </property>
  <property fmtid="{D5CDD505-2E9C-101B-9397-08002B2CF9AE}" pid="6" name="KSOTemplateDocerSaveRecord">
    <vt:lpwstr>eyJoZGlkIjoiODg1MWE3NmQwODA2NzcyNDdlZThlYmM4MTVmNGUyZWEiLCJ1c2VySWQiOiIxNjE4MDUxOTU5In0=</vt:lpwstr>
  </property>
</Properties>
</file>